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版本号：ZCSP-潼关县-2026-0001920260415003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潼关县高考指挥平台建设项目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ZCSP-潼关县-2026-00019</w:t>
      </w:r>
      <w:r>
        <w:br/>
      </w:r>
      <w:r>
        <w:br/>
      </w:r>
      <w:r>
        <w:br/>
      </w:r>
    </w:p>
    <w:p>
      <w:pPr>
        <w:pStyle w:val="null3"/>
        <w:jc w:val="center"/>
        <w:outlineLvl w:val="2"/>
      </w:pPr>
      <w:r>
        <w:rPr>
          <w:rFonts w:ascii="仿宋_GB2312" w:hAnsi="仿宋_GB2312" w:cs="仿宋_GB2312" w:eastAsia="仿宋_GB2312"/>
          <w:sz w:val="28"/>
          <w:b/>
        </w:rPr>
        <w:t>潼关县教育体育局</w:t>
      </w:r>
    </w:p>
    <w:p>
      <w:pPr>
        <w:pStyle w:val="null3"/>
        <w:jc w:val="center"/>
        <w:outlineLvl w:val="2"/>
      </w:pPr>
      <w:r>
        <w:rPr>
          <w:rFonts w:ascii="仿宋_GB2312" w:hAnsi="仿宋_GB2312" w:cs="仿宋_GB2312" w:eastAsia="仿宋_GB2312"/>
          <w:sz w:val="28"/>
          <w:b/>
        </w:rPr>
        <w:t>品智工程咨询有限公司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品智工程咨询有限公司</w:t>
      </w:r>
      <w:r>
        <w:rPr>
          <w:rFonts w:ascii="仿宋_GB2312" w:hAnsi="仿宋_GB2312" w:cs="仿宋_GB2312" w:eastAsia="仿宋_GB2312"/>
        </w:rPr>
        <w:t>（以下简称“代理机构”）受</w:t>
      </w:r>
      <w:r>
        <w:rPr>
          <w:rFonts w:ascii="仿宋_GB2312" w:hAnsi="仿宋_GB2312" w:cs="仿宋_GB2312" w:eastAsia="仿宋_GB2312"/>
        </w:rPr>
        <w:t>潼关县教育体育局</w:t>
      </w:r>
      <w:r>
        <w:rPr>
          <w:rFonts w:ascii="仿宋_GB2312" w:hAnsi="仿宋_GB2312" w:cs="仿宋_GB2312" w:eastAsia="仿宋_GB2312"/>
        </w:rPr>
        <w:t>委托，拟对</w:t>
      </w:r>
      <w:r>
        <w:rPr>
          <w:rFonts w:ascii="仿宋_GB2312" w:hAnsi="仿宋_GB2312" w:cs="仿宋_GB2312" w:eastAsia="仿宋_GB2312"/>
        </w:rPr>
        <w:t>潼关县高考指挥平台建设项目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ZCSP-潼关县-2026-00019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潼关县高考指挥平台建设项目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高考指挥平台所需所有设备，系统软件；平台所需调试、对接，后期运维及通讯设备；平台的装修和安防实施；平台基础的办公、会议实施。</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法定代表人授权书：法定代表人（负责人）参加投标的，须出具法定代表人（负责人）身份证明书及身份证两面扫描件；法定代表人（负责人）授权委托代理人参加投标的，须出具法定代表人（负责人）授权委托书及委托代理人身份证两面扫描件（委托代理人需提供开标前三个月内任意一个月的社保缴纳证明）；</w:t>
      </w:r>
    </w:p>
    <w:p>
      <w:pPr>
        <w:pStyle w:val="null3"/>
      </w:pPr>
      <w:r>
        <w:rPr>
          <w:rFonts w:ascii="仿宋_GB2312" w:hAnsi="仿宋_GB2312" w:cs="仿宋_GB2312" w:eastAsia="仿宋_GB2312"/>
        </w:rPr>
        <w:t>3、财务状况（三种形式的资料提供任何一种）：提供完整的2024年度或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4、税收缴纳证明：提供投标文件截止时间一年内至少一个月的纳税证明或完税证明（任意税种），纳税证明或完税证明上应有代收机构或税务机关的公章或业务专用章；（依法不需要缴纳税收的投标供应商应提供相关证明）；</w:t>
      </w:r>
    </w:p>
    <w:p>
      <w:pPr>
        <w:pStyle w:val="null3"/>
      </w:pPr>
      <w:r>
        <w:rPr>
          <w:rFonts w:ascii="仿宋_GB2312" w:hAnsi="仿宋_GB2312" w:cs="仿宋_GB2312" w:eastAsia="仿宋_GB2312"/>
        </w:rPr>
        <w:t>5、社会保障资金缴纳证明：提供投标文件截止时间一年内至少一个月的社会保障资金缴存单据 或社保机构开具的社会保险参保缴费情况证明，单据或证明上应有社保机构或代收机构的公章或业务专用章；（依法不需要缴纳社会保障资金的投标供应商应提供相关证明）；</w:t>
      </w:r>
    </w:p>
    <w:p>
      <w:pPr>
        <w:pStyle w:val="null3"/>
      </w:pPr>
      <w:r>
        <w:rPr>
          <w:rFonts w:ascii="仿宋_GB2312" w:hAnsi="仿宋_GB2312" w:cs="仿宋_GB2312" w:eastAsia="仿宋_GB2312"/>
        </w:rPr>
        <w:t>6、具有履行合同所必需的设备和专业技术能力：提供具有履行合同所必需的设备和专业技术能力的承诺；</w:t>
      </w:r>
    </w:p>
    <w:p>
      <w:pPr>
        <w:pStyle w:val="null3"/>
      </w:pPr>
      <w:r>
        <w:rPr>
          <w:rFonts w:ascii="仿宋_GB2312" w:hAnsi="仿宋_GB2312" w:cs="仿宋_GB2312" w:eastAsia="仿宋_GB2312"/>
        </w:rPr>
        <w:t>7、书面声明：参加本次政府采购活动前三年内在经营活动中没有重大违法声明函</w:t>
      </w:r>
    </w:p>
    <w:p>
      <w:pPr>
        <w:pStyle w:val="null3"/>
      </w:pPr>
      <w:r>
        <w:rPr>
          <w:rFonts w:ascii="仿宋_GB2312" w:hAnsi="仿宋_GB2312" w:cs="仿宋_GB2312" w:eastAsia="仿宋_GB2312"/>
        </w:rPr>
        <w:t>8、信用情况：投标供应商不得被“信用中国”（www.creditchina.gov.cn ）列入重大税收违法失信主体；不得被“中国执行信息公开网”（www.zxgk.court.gov.cn ）列入失信被执行人名单；不得被“中国政府采购网”（www.ccgp.gov.cn ）列入政府采购严重违法失信行为记录名单；</w:t>
      </w:r>
    </w:p>
    <w:p>
      <w:pPr>
        <w:pStyle w:val="null3"/>
      </w:pPr>
      <w:r>
        <w:rPr>
          <w:rFonts w:ascii="仿宋_GB2312" w:hAnsi="仿宋_GB2312" w:cs="仿宋_GB2312" w:eastAsia="仿宋_GB2312"/>
        </w:rPr>
        <w:t>9、控股、管理关系：单位负责人为同一人或者存在直接控股、管理关系的不同供应商，不得参加同一合同项下的政府采购活动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10、联合体：本项目不接受联合体</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潼关县教育体育局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渭南市潼关县育贤街（西段）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张红伟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13572357215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品智工程咨询有限公司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陕西省西安市未央区陕西省西安市经济技术开发区凤城七路长和国际A座1502室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袁新洁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17349239651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潼关县政府采购管理股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刘涛</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18609239199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采购包1：674,100.00元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开户名称：品智工程咨询有限公司渭南分公司</w:t>
            </w:r>
          </w:p>
          <w:p>
            <w:pPr>
              <w:pStyle w:val="null3"/>
            </w:pPr>
            <w:r>
              <w:rPr>
                <w:rFonts w:ascii="仿宋_GB2312" w:hAnsi="仿宋_GB2312" w:cs="仿宋_GB2312" w:eastAsia="仿宋_GB2312"/>
              </w:rPr>
              <w:t>开户银行：中国建设银行股份有限公司渭南胜利大街支行</w:t>
            </w:r>
          </w:p>
          <w:p>
            <w:pPr>
              <w:pStyle w:val="null3"/>
            </w:pPr>
            <w:r>
              <w:rPr>
                <w:rFonts w:ascii="仿宋_GB2312" w:hAnsi="仿宋_GB2312" w:cs="仿宋_GB2312" w:eastAsia="仿宋_GB2312"/>
              </w:rPr>
              <w:t>银行账号：61050164140000001103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代理服务费收费标准：参考《国家计委关于印发&lt;招标代理服务收费管理暂行办法&gt;的通知》（ 计价格【2002】1980 号）及《国家发改委关于降低部分建设项目收费标准规范收费行为等有 关问题的通知》（发改价格[2011]534 号）规定按标准收取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潼关县教育体育局</w:t>
      </w:r>
      <w:r>
        <w:rPr>
          <w:rFonts w:ascii="仿宋_GB2312" w:hAnsi="仿宋_GB2312" w:cs="仿宋_GB2312" w:eastAsia="仿宋_GB2312"/>
        </w:rPr>
        <w:t>和</w:t>
      </w:r>
      <w:r>
        <w:rPr>
          <w:rFonts w:ascii="仿宋_GB2312" w:hAnsi="仿宋_GB2312" w:cs="仿宋_GB2312" w:eastAsia="仿宋_GB2312"/>
        </w:rPr>
        <w:t>品智工程咨询有限公司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潼关县教育体育局</w:t>
      </w:r>
      <w:r>
        <w:rPr>
          <w:rFonts w:ascii="仿宋_GB2312" w:hAnsi="仿宋_GB2312" w:cs="仿宋_GB2312" w:eastAsia="仿宋_GB2312"/>
        </w:rPr>
        <w:t>负责解释。除上述招标文件内容，其他内容由</w:t>
      </w:r>
      <w:r>
        <w:rPr>
          <w:rFonts w:ascii="仿宋_GB2312" w:hAnsi="仿宋_GB2312" w:cs="仿宋_GB2312" w:eastAsia="仿宋_GB2312"/>
        </w:rPr>
        <w:t>品智工程咨询有限公司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潼关县教育体育局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品智工程咨询有限公司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满足采购人需求，达到合格标准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品智工程咨询有限公司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品智工程咨询有限公司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品智工程咨询有限公司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联系人：袁新洁</w:t>
      </w:r>
    </w:p>
    <w:p>
      <w:pPr>
        <w:pStyle w:val="null3"/>
      </w:pPr>
      <w:r>
        <w:rPr>
          <w:rFonts w:ascii="仿宋_GB2312" w:hAnsi="仿宋_GB2312" w:cs="仿宋_GB2312" w:eastAsia="仿宋_GB2312"/>
        </w:rPr>
        <w:t>联系电话：17349239651</w:t>
      </w:r>
    </w:p>
    <w:p>
      <w:pPr>
        <w:pStyle w:val="null3"/>
      </w:pPr>
      <w:r>
        <w:rPr>
          <w:rFonts w:ascii="仿宋_GB2312" w:hAnsi="仿宋_GB2312" w:cs="仿宋_GB2312" w:eastAsia="仿宋_GB2312"/>
        </w:rPr>
        <w:t>地址：陕西省渭南市海兴城南门商铺</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高考指挥平台所需所有设备，系统软件；平台所需调试、对接，后期运维及通讯设备；平台的装修和安防实施；平台基础的办公、会议实施。</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674,100.00</w:t>
      </w:r>
    </w:p>
    <w:p>
      <w:pPr>
        <w:pStyle w:val="null3"/>
      </w:pPr>
      <w:r>
        <w:rPr>
          <w:rFonts w:ascii="仿宋_GB2312" w:hAnsi="仿宋_GB2312" w:cs="仿宋_GB2312" w:eastAsia="仿宋_GB2312"/>
        </w:rPr>
        <w:t>采购包最高限价（元）: 674,100.00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潼关县高考指挥平台建设项目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674,100.00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标的名称：潼关县高考指挥平台建设项目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7"/>
              </w:rPr>
              <w:t>1.监控中心</w:t>
            </w:r>
          </w:p>
          <w:tbl>
            <w:tblPr>
              <w:tblBorders>
                <w:top w:val="single"/>
                <w:left w:val="single"/>
                <w:bottom w:val="single"/>
                <w:right w:val="single"/>
                <w:insideH w:val="single"/>
                <w:insideV w:val="single"/>
              </w:tblBorders>
            </w:tblPr>
            <w:tblGrid>
              <w:gridCol w:w="121"/>
              <w:gridCol w:w="299"/>
              <w:gridCol w:w="285"/>
              <w:gridCol w:w="2132"/>
              <w:gridCol w:w="196"/>
              <w:gridCol w:w="156"/>
            </w:tblGrid>
            <w:tr>
              <w:tc>
                <w:tcPr>
                  <w:tcW w:type="dxa" w:w="12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序号</w:t>
                  </w:r>
                </w:p>
              </w:tc>
              <w:tc>
                <w:tcPr>
                  <w:tcW w:type="dxa" w:w="29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使用场所</w:t>
                  </w:r>
                </w:p>
              </w:tc>
              <w:tc>
                <w:tcPr>
                  <w:tcW w:type="dxa" w:w="28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设备名称</w:t>
                  </w:r>
                </w:p>
              </w:tc>
              <w:tc>
                <w:tcPr>
                  <w:tcW w:type="dxa" w:w="213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技术参数</w:t>
                  </w:r>
                </w:p>
              </w:tc>
              <w:tc>
                <w:tcPr>
                  <w:tcW w:type="dxa" w:w="19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数量</w:t>
                  </w:r>
                </w:p>
              </w:tc>
              <w:tc>
                <w:tcPr>
                  <w:tcW w:type="dxa" w:w="1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单位</w:t>
                  </w:r>
                </w:p>
              </w:tc>
            </w:tr>
            <w:tr>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9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监控中心</w:t>
                  </w:r>
                </w:p>
              </w:tc>
              <w:tc>
                <w:tcPr>
                  <w:tcW w:type="dxa" w:w="2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网络硬盘录像机</w:t>
                  </w:r>
                </w:p>
              </w:tc>
              <w:tc>
                <w:tcPr>
                  <w:tcW w:type="dxa" w:w="21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1.采用嵌入式设计，标准2U机箱，设备运行低噪环保，支持接入1080P高清网络摄像机，兼容H.264/H.265编码；</w:t>
                  </w:r>
                  <w:r>
                    <w:br/>
                  </w:r>
                  <w:r>
                    <w:rPr>
                      <w:rFonts w:ascii="仿宋_GB2312" w:hAnsi="仿宋_GB2312" w:cs="仿宋_GB2312" w:eastAsia="仿宋_GB2312"/>
                      <w:sz w:val="19"/>
                      <w:color w:val="000000"/>
                    </w:rPr>
                    <w:t xml:space="preserve"> 2.所有视音频通道处于录制状态时，单路监视、回放图像画面信息无明显缺损，物体移动时图像边缘不应有明显锯齿状和拉毛等现象；</w:t>
                  </w:r>
                  <w:r>
                    <w:br/>
                  </w:r>
                  <w:r>
                    <w:rPr>
                      <w:rFonts w:ascii="仿宋_GB2312" w:hAnsi="仿宋_GB2312" w:cs="仿宋_GB2312" w:eastAsia="仿宋_GB2312"/>
                      <w:sz w:val="19"/>
                      <w:color w:val="000000"/>
                    </w:rPr>
                    <w:t xml:space="preserve"> 3.支持对任一录像文件加锁，解锁，只有解锁后才可被覆盖；</w:t>
                  </w:r>
                  <w:r>
                    <w:br/>
                  </w:r>
                  <w:r>
                    <w:rPr>
                      <w:rFonts w:ascii="仿宋_GB2312" w:hAnsi="仿宋_GB2312" w:cs="仿宋_GB2312" w:eastAsia="仿宋_GB2312"/>
                      <w:sz w:val="19"/>
                      <w:color w:val="000000"/>
                    </w:rPr>
                    <w:t xml:space="preserve"> 4.支持16路网络高清音视频输入。</w:t>
                  </w:r>
                  <w:r>
                    <w:br/>
                  </w:r>
                  <w:r>
                    <w:rPr>
                      <w:rFonts w:ascii="仿宋_GB2312" w:hAnsi="仿宋_GB2312" w:cs="仿宋_GB2312" w:eastAsia="仿宋_GB2312"/>
                      <w:sz w:val="19"/>
                      <w:color w:val="000000"/>
                    </w:rPr>
                    <w:t xml:space="preserve"> 5.可接驳网络摄像机、网络快球；</w:t>
                  </w:r>
                  <w:r>
                    <w:br/>
                  </w:r>
                  <w:r>
                    <w:rPr>
                      <w:rFonts w:ascii="仿宋_GB2312" w:hAnsi="仿宋_GB2312" w:cs="仿宋_GB2312" w:eastAsia="仿宋_GB2312"/>
                      <w:sz w:val="19"/>
                      <w:color w:val="000000"/>
                    </w:rPr>
                    <w:t xml:space="preserve"> 6.支持高清网络视频的预览、存储与回放；</w:t>
                  </w:r>
                  <w:r>
                    <w:br/>
                  </w:r>
                  <w:r>
                    <w:rPr>
                      <w:rFonts w:ascii="仿宋_GB2312" w:hAnsi="仿宋_GB2312" w:cs="仿宋_GB2312" w:eastAsia="仿宋_GB2312"/>
                      <w:sz w:val="19"/>
                      <w:color w:val="000000"/>
                    </w:rPr>
                    <w:t xml:space="preserve"> 7.支持HDMI输出；</w:t>
                  </w:r>
                  <w:r>
                    <w:br/>
                  </w:r>
                  <w:r>
                    <w:rPr>
                      <w:rFonts w:ascii="仿宋_GB2312" w:hAnsi="仿宋_GB2312" w:cs="仿宋_GB2312" w:eastAsia="仿宋_GB2312"/>
                      <w:sz w:val="19"/>
                      <w:color w:val="000000"/>
                    </w:rPr>
                    <w:t xml:space="preserve"> 8.支持一键开启录像功能；</w:t>
                  </w:r>
                  <w:r>
                    <w:br/>
                  </w:r>
                  <w:r>
                    <w:rPr>
                      <w:rFonts w:ascii="仿宋_GB2312" w:hAnsi="仿宋_GB2312" w:cs="仿宋_GB2312" w:eastAsia="仿宋_GB2312"/>
                      <w:sz w:val="19"/>
                      <w:color w:val="000000"/>
                    </w:rPr>
                    <w:t xml:space="preserve"> 9.支持重要录像文件加锁保护功能；</w:t>
                  </w:r>
                  <w:r>
                    <w:br/>
                  </w:r>
                  <w:r>
                    <w:rPr>
                      <w:rFonts w:ascii="仿宋_GB2312" w:hAnsi="仿宋_GB2312" w:cs="仿宋_GB2312" w:eastAsia="仿宋_GB2312"/>
                      <w:sz w:val="19"/>
                      <w:color w:val="000000"/>
                    </w:rPr>
                    <w:t xml:space="preserve"> 10.支持8个SATA接口，每个接口可接不小于8T硬盘，可用于录像和备份，录像储存时长≥30天。</w:t>
                  </w:r>
                  <w:r>
                    <w:br/>
                  </w:r>
                  <w:r>
                    <w:rPr>
                      <w:rFonts w:ascii="仿宋_GB2312" w:hAnsi="仿宋_GB2312" w:cs="仿宋_GB2312" w:eastAsia="仿宋_GB2312"/>
                      <w:sz w:val="19"/>
                      <w:color w:val="000000"/>
                    </w:rPr>
                    <w:t xml:space="preserve"> 11.双千兆网卡，支持网络容错等应用；</w:t>
                  </w:r>
                  <w:r>
                    <w:br/>
                  </w:r>
                  <w:r>
                    <w:rPr>
                      <w:rFonts w:ascii="仿宋_GB2312" w:hAnsi="仿宋_GB2312" w:cs="仿宋_GB2312" w:eastAsia="仿宋_GB2312"/>
                      <w:sz w:val="19"/>
                      <w:color w:val="000000"/>
                    </w:rPr>
                    <w:t xml:space="preserve"> ▲12.符合JY/T-KS-JS-2017-1《国家教育考试网上巡查系统视频标准技术规范》。须提供相应的功能证明材料，包括但不限于检测报告、测试报告、官网和功能截图等，并加盖供应商公章。</w:t>
                  </w:r>
                  <w:r>
                    <w:br/>
                  </w:r>
                  <w:r>
                    <w:rPr>
                      <w:rFonts w:ascii="仿宋_GB2312" w:hAnsi="仿宋_GB2312" w:cs="仿宋_GB2312" w:eastAsia="仿宋_GB2312"/>
                      <w:sz w:val="19"/>
                      <w:color w:val="000000"/>
                    </w:rPr>
                    <w:t xml:space="preserve"> 13.支持 UDP 单播，支持 TCP/IP、 HTTP、SIP、GB/T28181等网络协议;</w:t>
                  </w:r>
                  <w:r>
                    <w:br/>
                  </w:r>
                  <w:r>
                    <w:rPr>
                      <w:rFonts w:ascii="仿宋_GB2312" w:hAnsi="仿宋_GB2312" w:cs="仿宋_GB2312" w:eastAsia="仿宋_GB2312"/>
                      <w:sz w:val="19"/>
                      <w:color w:val="000000"/>
                    </w:rPr>
                    <w:t xml:space="preserve"> 14.可将不同网口设置同一IP地址；具有负载均衡功能；多址设定：可将网口设置不同网段的IP地址;</w:t>
                  </w:r>
                  <w:r>
                    <w:br/>
                  </w:r>
                  <w:r>
                    <w:rPr>
                      <w:rFonts w:ascii="仿宋_GB2312" w:hAnsi="仿宋_GB2312" w:cs="仿宋_GB2312" w:eastAsia="仿宋_GB2312"/>
                      <w:sz w:val="19"/>
                      <w:color w:val="000000"/>
                    </w:rPr>
                    <w:t xml:space="preserve"> 15.具有设备认证功能、防篡改功能及加密传输能力。</w:t>
                  </w:r>
                  <w:r>
                    <w:br/>
                  </w:r>
                  <w:r>
                    <w:rPr>
                      <w:rFonts w:ascii="仿宋_GB2312" w:hAnsi="仿宋_GB2312" w:cs="仿宋_GB2312" w:eastAsia="仿宋_GB2312"/>
                      <w:sz w:val="19"/>
                      <w:color w:val="000000"/>
                    </w:rPr>
                    <w:t xml:space="preserve"> 16.遵守《中华人民共和国密码法》，实现视频监控联网设备安全认证及对称密钥管理的信息安全，支持设备证书分发、查询、验证实施的途径、方法及权威性，及完成对称密钥管理等。</w:t>
                  </w:r>
                  <w:r>
                    <w:br/>
                  </w:r>
                  <w:r>
                    <w:rPr>
                      <w:rFonts w:ascii="仿宋_GB2312" w:hAnsi="仿宋_GB2312" w:cs="仿宋_GB2312" w:eastAsia="仿宋_GB2312"/>
                      <w:sz w:val="19"/>
                      <w:color w:val="000000"/>
                    </w:rPr>
                    <w:t xml:space="preserve"> 17.具备电源指示灯、运行状态指示灯、网络指示灯等。</w:t>
                  </w:r>
                  <w:r>
                    <w:br/>
                  </w:r>
                  <w:r>
                    <w:rPr>
                      <w:rFonts w:ascii="仿宋_GB2312" w:hAnsi="仿宋_GB2312" w:cs="仿宋_GB2312" w:eastAsia="仿宋_GB2312"/>
                      <w:sz w:val="19"/>
                      <w:color w:val="000000"/>
                    </w:rPr>
                    <w:t xml:space="preserve"> 18.产品内置SIP-UA，可直接向SIP服务器注册。</w:t>
                  </w:r>
                  <w:r>
                    <w:br/>
                  </w:r>
                  <w:r>
                    <w:rPr>
                      <w:rFonts w:ascii="仿宋_GB2312" w:hAnsi="仿宋_GB2312" w:cs="仿宋_GB2312" w:eastAsia="仿宋_GB2312"/>
                      <w:sz w:val="19"/>
                      <w:color w:val="000000"/>
                    </w:rPr>
                    <w:t xml:space="preserve"> 19.设备支持SIP地址解析，信令转发功能。</w:t>
                  </w:r>
                  <w:r>
                    <w:br/>
                  </w:r>
                  <w:r>
                    <w:rPr>
                      <w:rFonts w:ascii="仿宋_GB2312" w:hAnsi="仿宋_GB2312" w:cs="仿宋_GB2312" w:eastAsia="仿宋_GB2312"/>
                      <w:sz w:val="19"/>
                      <w:color w:val="000000"/>
                    </w:rPr>
                    <w:t xml:space="preserve"> 20.支持对主码流或者子码流存储。</w:t>
                  </w:r>
                  <w:r>
                    <w:br/>
                  </w:r>
                  <w:r>
                    <w:rPr>
                      <w:rFonts w:ascii="仿宋_GB2312" w:hAnsi="仿宋_GB2312" w:cs="仿宋_GB2312" w:eastAsia="仿宋_GB2312"/>
                      <w:sz w:val="19"/>
                      <w:color w:val="000000"/>
                    </w:rPr>
                    <w:t xml:space="preserve"> 21.采用国产品牌CPU，采用国产操作系统或者开源操作系统。</w:t>
                  </w:r>
                  <w:r>
                    <w:br/>
                  </w:r>
                  <w:r>
                    <w:rPr>
                      <w:rFonts w:ascii="仿宋_GB2312" w:hAnsi="仿宋_GB2312" w:cs="仿宋_GB2312" w:eastAsia="仿宋_GB2312"/>
                      <w:sz w:val="19"/>
                      <w:color w:val="000000"/>
                    </w:rPr>
                    <w:t xml:space="preserve"> ▲22.内置符合国密SM1/SM2/SM3/SM4算法的密码芯片。须提供相应的功能证明材料，包括但不限于检测报告、测试报告、官网和功能截图等，并加盖供应商公章。</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99"/>
                  <w:vMerge/>
                  <w:tcBorders>
                    <w:top w:val="single" w:color="000000" w:sz="4"/>
                    <w:left w:val="single" w:color="000000" w:sz="4"/>
                    <w:bottom w:val="single" w:color="000000" w:sz="4"/>
                    <w:right w:val="single" w:color="000000" w:sz="4"/>
                  </w:tcBorders>
                </w:tcPr>
                <w:p/>
              </w:tc>
              <w:tc>
                <w:tcPr>
                  <w:tcW w:type="dxa" w:w="2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SIP路由/分发转发服务器（平台级）</w:t>
                  </w:r>
                </w:p>
              </w:tc>
              <w:tc>
                <w:tcPr>
                  <w:tcW w:type="dxa" w:w="21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▲1.应符合《JY/T-KS-JS-2017-1《国家教育考试网上巡查系统视频标准技术规范》技术要求。须提供相应的功能证明材料，包括但不限于检测报告、测试报告、官网和功能截图等，并加盖供应商公章。</w:t>
                  </w:r>
                  <w:r>
                    <w:br/>
                  </w:r>
                  <w:r>
                    <w:rPr>
                      <w:rFonts w:ascii="仿宋_GB2312" w:hAnsi="仿宋_GB2312" w:cs="仿宋_GB2312" w:eastAsia="仿宋_GB2312"/>
                      <w:sz w:val="19"/>
                      <w:color w:val="000000"/>
                    </w:rPr>
                    <w:t xml:space="preserve"> 2.具有SIP地址解析、信令转发；支持远程用户、设备、视频点SIP URI映射；支持SIP URI统一命名规则、分级命名；实现SIP URI组、用户、树形列表和SIP终端设备的接入认证功能。能对SIP 终端的呼叫及访问权限进行控制；需建立SIP 网关间的信任关系；支持媒体流的汇聚。</w:t>
                  </w:r>
                  <w:r>
                    <w:br/>
                  </w:r>
                  <w:r>
                    <w:rPr>
                      <w:rFonts w:ascii="仿宋_GB2312" w:hAnsi="仿宋_GB2312" w:cs="仿宋_GB2312" w:eastAsia="仿宋_GB2312"/>
                      <w:sz w:val="19"/>
                      <w:color w:val="000000"/>
                    </w:rPr>
                    <w:t xml:space="preserve"> ▲3.为保证设备的抗病毒和抗攻击能力：应是嵌入式设备，采用LINUX操作系统，采用国产品牌嵌入式CPU 。须提供相应的功能证明材料，包括但不限于检测报告、测试报告、官网和功能截图等，并加盖供应商公章。</w:t>
                  </w:r>
                  <w:r>
                    <w:br/>
                  </w:r>
                  <w:r>
                    <w:rPr>
                      <w:rFonts w:ascii="仿宋_GB2312" w:hAnsi="仿宋_GB2312" w:cs="仿宋_GB2312" w:eastAsia="仿宋_GB2312"/>
                      <w:sz w:val="19"/>
                      <w:color w:val="000000"/>
                    </w:rPr>
                    <w:t xml:space="preserve"> 4.具备2个10M/100M/1000M自适应以太网接口。</w:t>
                  </w:r>
                  <w:r>
                    <w:br/>
                  </w:r>
                  <w:r>
                    <w:rPr>
                      <w:rFonts w:ascii="仿宋_GB2312" w:hAnsi="仿宋_GB2312" w:cs="仿宋_GB2312" w:eastAsia="仿宋_GB2312"/>
                      <w:sz w:val="19"/>
                      <w:color w:val="000000"/>
                    </w:rPr>
                    <w:t xml:space="preserve"> 5.具有对各路音视频的实时点播，对监控设备的远程控制；录像的回放以及检索等功能。</w:t>
                  </w:r>
                  <w:r>
                    <w:br/>
                  </w:r>
                  <w:r>
                    <w:rPr>
                      <w:rFonts w:ascii="仿宋_GB2312" w:hAnsi="仿宋_GB2312" w:cs="仿宋_GB2312" w:eastAsia="仿宋_GB2312"/>
                      <w:sz w:val="19"/>
                      <w:color w:val="000000"/>
                    </w:rPr>
                    <w:t xml:space="preserve"> ▲6.加减密流转发能力不低于256M/bps。当多个用户通过分发服务器，同时呼叫同一个SIP终端的视频流时， SIP 终端只需要发送一个视频流给分发服务器，由分发服务器处理后，再分发给所有呼叫的用户，以实现负载均衡和冗余合并。须提供相应的功能证明材料，包括但不限于检测报告、测试报告、官网和功能截图等，并加盖供应商公章。</w:t>
                  </w:r>
                  <w:r>
                    <w:br/>
                  </w:r>
                  <w:r>
                    <w:rPr>
                      <w:rFonts w:ascii="仿宋_GB2312" w:hAnsi="仿宋_GB2312" w:cs="仿宋_GB2312" w:eastAsia="仿宋_GB2312"/>
                      <w:sz w:val="19"/>
                      <w:color w:val="000000"/>
                    </w:rPr>
                    <w:t xml:space="preserve"> 7.支持TCP/IP、SIP、RTP、RTCP、DHCP和PPPOE等网络协议，支持GB/T28181。</w:t>
                  </w:r>
                  <w:r>
                    <w:br/>
                  </w:r>
                  <w:r>
                    <w:rPr>
                      <w:rFonts w:ascii="仿宋_GB2312" w:hAnsi="仿宋_GB2312" w:cs="仿宋_GB2312" w:eastAsia="仿宋_GB2312"/>
                      <w:sz w:val="19"/>
                      <w:color w:val="000000"/>
                    </w:rPr>
                    <w:t xml:space="preserve"> 8.分发功能：采用组播、分发或广播的方式将音视频流转发给用户，同一时间分发路数不小于64路。</w:t>
                  </w:r>
                  <w:r>
                    <w:br/>
                  </w:r>
                  <w:r>
                    <w:rPr>
                      <w:rFonts w:ascii="仿宋_GB2312" w:hAnsi="仿宋_GB2312" w:cs="仿宋_GB2312" w:eastAsia="仿宋_GB2312"/>
                      <w:sz w:val="19"/>
                      <w:color w:val="000000"/>
                    </w:rPr>
                    <w:t xml:space="preserve"> ▲9.安全功能：支持安全审计功能，可审计事件的日期、时间、类型、用户名、客户端、IP地址、访问对象、结果等；须提供相应的功能证明材料，包括但不限于检测报告、测试报告、官网和功能截图等，并加盖供应商公章。</w:t>
                  </w:r>
                  <w:r>
                    <w:br/>
                  </w:r>
                  <w:r>
                    <w:rPr>
                      <w:rFonts w:ascii="仿宋_GB2312" w:hAnsi="仿宋_GB2312" w:cs="仿宋_GB2312" w:eastAsia="仿宋_GB2312"/>
                      <w:sz w:val="19"/>
                      <w:color w:val="000000"/>
                    </w:rPr>
                    <w:t xml:space="preserve"> 10.支持动态路由功能，在链路断路的情况下可以直接向上一级，或是同级注册(路由信息双备份);</w:t>
                  </w:r>
                  <w:r>
                    <w:br/>
                  </w:r>
                  <w:r>
                    <w:rPr>
                      <w:rFonts w:ascii="仿宋_GB2312" w:hAnsi="仿宋_GB2312" w:cs="仿宋_GB2312" w:eastAsia="仿宋_GB2312"/>
                      <w:sz w:val="19"/>
                      <w:color w:val="000000"/>
                    </w:rPr>
                    <w:t xml:space="preserve"> ▲11.内置符合国密SM1/SM2/SM3/SM4算法的密码芯片。须提供相应的功能证明材料，包括但不限于检测报告、测试报告、官网和功能截图等，并加盖供应商公章。</w:t>
                  </w:r>
                  <w:r>
                    <w:br/>
                  </w:r>
                  <w:r>
                    <w:rPr>
                      <w:rFonts w:ascii="仿宋_GB2312" w:hAnsi="仿宋_GB2312" w:cs="仿宋_GB2312" w:eastAsia="仿宋_GB2312"/>
                      <w:sz w:val="19"/>
                      <w:color w:val="000000"/>
                    </w:rPr>
                    <w:t xml:space="preserve"> 12.SIP服务器支持NTP校时功能，为学校的网络时钟、摄像机、存储设备、解码设备等提供校时服务。</w:t>
                  </w:r>
                  <w:r>
                    <w:br/>
                  </w:r>
                  <w:r>
                    <w:rPr>
                      <w:rFonts w:ascii="仿宋_GB2312" w:hAnsi="仿宋_GB2312" w:cs="仿宋_GB2312" w:eastAsia="仿宋_GB2312"/>
                      <w:sz w:val="19"/>
                      <w:color w:val="000000"/>
                    </w:rPr>
                    <w:t xml:space="preserve"> 13.采用无风扇设计。</w:t>
                  </w:r>
                  <w:r>
                    <w:br/>
                  </w:r>
                  <w:r>
                    <w:rPr>
                      <w:rFonts w:ascii="仿宋_GB2312" w:hAnsi="仿宋_GB2312" w:cs="仿宋_GB2312" w:eastAsia="仿宋_GB2312"/>
                      <w:sz w:val="19"/>
                      <w:color w:val="000000"/>
                    </w:rPr>
                    <w:t xml:space="preserve"> 14.符合《国家教育考试网上巡查系统视频标准技术规范（ 2017 版）》规范规定的 H.264 、 H.265 视频编码标准，图像分辨率支持 720P和1080P并可选。应能根据需要扩展支持 MPEG Layer II、G.711和AAC 音频编码标准，并支持 Program Stream 系统流和 Transition Stream 传输流的封装。</w:t>
                  </w:r>
                  <w:r>
                    <w:br/>
                  </w:r>
                  <w:r>
                    <w:rPr>
                      <w:rFonts w:ascii="仿宋_GB2312" w:hAnsi="仿宋_GB2312" w:cs="仿宋_GB2312" w:eastAsia="仿宋_GB2312"/>
                      <w:sz w:val="19"/>
                      <w:color w:val="000000"/>
                    </w:rPr>
                    <w:t xml:space="preserve"> 15.媒体流转发服务器，接口来自SIP设备、网关或其他媒体服务器等设备的媒体数据，并根据指令，将这些数据转发到其他单个或者多个SIP客户端或者媒体转发服务器，并支持多级转发。</w:t>
                  </w:r>
                  <w:r>
                    <w:br/>
                  </w:r>
                  <w:r>
                    <w:rPr>
                      <w:rFonts w:ascii="仿宋_GB2312" w:hAnsi="仿宋_GB2312" w:cs="仿宋_GB2312" w:eastAsia="仿宋_GB2312"/>
                      <w:sz w:val="19"/>
                      <w:color w:val="000000"/>
                    </w:rPr>
                    <w:t xml:space="preserve"> 16.支持订制列表，支持将未设置考场的图像进行屏蔽，不进行上传。</w:t>
                  </w:r>
                  <w:r>
                    <w:br/>
                  </w:r>
                  <w:r>
                    <w:rPr>
                      <w:rFonts w:ascii="仿宋_GB2312" w:hAnsi="仿宋_GB2312" w:cs="仿宋_GB2312" w:eastAsia="仿宋_GB2312"/>
                      <w:sz w:val="19"/>
                      <w:color w:val="000000"/>
                    </w:rPr>
                    <w:t xml:space="preserve"> 17.支持SIP 向上级的主动注册及同时向多个上级同时注册管理，具备实时追踪 SIP 连接、认证状态功能，支持反向通道技术。</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299"/>
                  <w:vMerge/>
                  <w:tcBorders>
                    <w:top w:val="single" w:color="000000" w:sz="4"/>
                    <w:left w:val="single" w:color="000000" w:sz="4"/>
                    <w:bottom w:val="single" w:color="000000" w:sz="4"/>
                    <w:right w:val="single" w:color="000000" w:sz="4"/>
                  </w:tcBorders>
                </w:tcPr>
                <w:p/>
              </w:tc>
              <w:tc>
                <w:tcPr>
                  <w:tcW w:type="dxa" w:w="2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音视频矩阵解码器（服务器）</w:t>
                  </w:r>
                </w:p>
              </w:tc>
              <w:tc>
                <w:tcPr>
                  <w:tcW w:type="dxa" w:w="21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1.采用嵌入式设计，LINUX实时操作系统，提高系统抗病毒和抗攻击能力；</w:t>
                  </w:r>
                  <w:r>
                    <w:br/>
                  </w:r>
                  <w:r>
                    <w:rPr>
                      <w:rFonts w:ascii="仿宋_GB2312" w:hAnsi="仿宋_GB2312" w:cs="仿宋_GB2312" w:eastAsia="仿宋_GB2312"/>
                      <w:sz w:val="19"/>
                      <w:color w:val="000000"/>
                    </w:rPr>
                    <w:t xml:space="preserve"> 2.4路DVI或4路HDMI输出，支持多种输出方式选择；可使用多台设备；</w:t>
                  </w:r>
                  <w:r>
                    <w:br/>
                  </w:r>
                  <w:r>
                    <w:rPr>
                      <w:rFonts w:ascii="仿宋_GB2312" w:hAnsi="仿宋_GB2312" w:cs="仿宋_GB2312" w:eastAsia="仿宋_GB2312"/>
                      <w:sz w:val="19"/>
                      <w:color w:val="000000"/>
                    </w:rPr>
                    <w:t xml:space="preserve"> 3.复合画面输出分辨率支持支持4K、1080P、720P等输出分辨率；</w:t>
                  </w:r>
                  <w:r>
                    <w:br/>
                  </w:r>
                  <w:r>
                    <w:rPr>
                      <w:rFonts w:ascii="仿宋_GB2312" w:hAnsi="仿宋_GB2312" w:cs="仿宋_GB2312" w:eastAsia="仿宋_GB2312"/>
                      <w:sz w:val="19"/>
                      <w:color w:val="000000"/>
                    </w:rPr>
                    <w:t xml:space="preserve"> 4.具有HDMI或者DVI输入；</w:t>
                  </w:r>
                  <w:r>
                    <w:br/>
                  </w:r>
                  <w:r>
                    <w:rPr>
                      <w:rFonts w:ascii="仿宋_GB2312" w:hAnsi="仿宋_GB2312" w:cs="仿宋_GB2312" w:eastAsia="仿宋_GB2312"/>
                      <w:sz w:val="19"/>
                      <w:color w:val="000000"/>
                    </w:rPr>
                    <w:t xml:space="preserve"> 5.支持 UDP 单播，支持 TCP/IP、IPv4、IPv6、 HTTP、UPnP、 NTP、SNMP、PPPoE、DNS、 FTP、ONVIF、 SIP、RTP、RTCP、GB/T28181等网络协议 ；</w:t>
                  </w:r>
                  <w:r>
                    <w:br/>
                  </w:r>
                  <w:r>
                    <w:rPr>
                      <w:rFonts w:ascii="仿宋_GB2312" w:hAnsi="仿宋_GB2312" w:cs="仿宋_GB2312" w:eastAsia="仿宋_GB2312"/>
                      <w:sz w:val="19"/>
                      <w:color w:val="000000"/>
                    </w:rPr>
                    <w:t xml:space="preserve"> 6.画面分割显示功能。能够完成独立轮巡和组合轮巡、定点轮巡和定长轮巡。输出支持 4 画面、9 画面、16画面等画面分割模式。整机解码能力不低于输出接口数量*4；</w:t>
                  </w:r>
                  <w:r>
                    <w:br/>
                  </w:r>
                  <w:r>
                    <w:rPr>
                      <w:rFonts w:ascii="仿宋_GB2312" w:hAnsi="仿宋_GB2312" w:cs="仿宋_GB2312" w:eastAsia="仿宋_GB2312"/>
                      <w:sz w:val="19"/>
                      <w:color w:val="000000"/>
                    </w:rPr>
                    <w:t xml:space="preserve"> ▲7.符合JY/T-KS-JS-2017-1《国家教育考试网上巡查系统视频标准技术规范》技术要求。须提供相应的功能证明材料，包括但不限于检测报告、测试报告、官网和功能截图等，并加盖供应商公章；</w:t>
                  </w:r>
                  <w:r>
                    <w:br/>
                  </w:r>
                  <w:r>
                    <w:rPr>
                      <w:rFonts w:ascii="仿宋_GB2312" w:hAnsi="仿宋_GB2312" w:cs="仿宋_GB2312" w:eastAsia="仿宋_GB2312"/>
                      <w:sz w:val="19"/>
                      <w:color w:val="000000"/>
                    </w:rPr>
                    <w:t xml:space="preserve"> 8.视频为1080P格式下，支持4*1、4*4画面解码；视频为720P格式下，支持4*1、4*4、4*9画面解码；视频为4CIF（D1）格式下，支持4*1、4*4、4*9、4*16画面解码。</w:t>
                  </w:r>
                  <w:r>
                    <w:br/>
                  </w:r>
                  <w:r>
                    <w:rPr>
                      <w:rFonts w:ascii="仿宋_GB2312" w:hAnsi="仿宋_GB2312" w:cs="仿宋_GB2312" w:eastAsia="仿宋_GB2312"/>
                      <w:sz w:val="19"/>
                      <w:color w:val="000000"/>
                    </w:rPr>
                    <w:t xml:space="preserve"> 9.高清升级支持H.264、H.265视频编码标准，图像分辨率应支持主码流1080P，子码流支持720P。支持G.711、AAC音频编码标准，并支持Program Stream系统流和Transition Stream传输流的封装。H.264的具体要求符合ISO/IEC14496-10高级视频编码AVC标准；H.265的具体要求符合ITU-T制定的视频编码HEVC标准；G.711的具体要求符合ITU-T G.711标准；AAC的具体要求符合ISO 14496-3 Audio标准；Program Stream系统流和Transition Stream传输流的封装标准应遵照ISO/IEC-13818-1(2000 版本)的具体规定。应兼容符合2007规范规定的MPEG4视频编码格式（Advanced Simple Profile不带B帧，不带GMC），MPEG Layer II音频编码标准。</w:t>
                  </w:r>
                  <w:r>
                    <w:br/>
                  </w:r>
                  <w:r>
                    <w:rPr>
                      <w:rFonts w:ascii="仿宋_GB2312" w:hAnsi="仿宋_GB2312" w:cs="仿宋_GB2312" w:eastAsia="仿宋_GB2312"/>
                      <w:sz w:val="19"/>
                      <w:color w:val="000000"/>
                    </w:rPr>
                    <w:t xml:space="preserve"> 10.SIP功能，支持 SIP 地址解析，信令转发支持用户权限 ；内置 SIP-UA,支持直接向 SIP 服务；支持 SIP 地址解析，信令转发。</w:t>
                  </w:r>
                  <w:r>
                    <w:br/>
                  </w:r>
                  <w:r>
                    <w:rPr>
                      <w:rFonts w:ascii="仿宋_GB2312" w:hAnsi="仿宋_GB2312" w:cs="仿宋_GB2312" w:eastAsia="仿宋_GB2312"/>
                      <w:sz w:val="19"/>
                      <w:color w:val="000000"/>
                    </w:rPr>
                    <w:t xml:space="preserve"> 11.设备具有唯一ID。</w:t>
                  </w:r>
                  <w:r>
                    <w:br/>
                  </w:r>
                  <w:r>
                    <w:rPr>
                      <w:rFonts w:ascii="仿宋_GB2312" w:hAnsi="仿宋_GB2312" w:cs="仿宋_GB2312" w:eastAsia="仿宋_GB2312"/>
                      <w:sz w:val="19"/>
                      <w:color w:val="000000"/>
                    </w:rPr>
                    <w:t xml:space="preserve"> 12.支持音视频同步输出。</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299"/>
                  <w:vMerge/>
                  <w:tcBorders>
                    <w:top w:val="single" w:color="000000" w:sz="4"/>
                    <w:left w:val="single" w:color="000000" w:sz="4"/>
                    <w:bottom w:val="single" w:color="000000" w:sz="4"/>
                    <w:right w:val="single" w:color="000000" w:sz="4"/>
                  </w:tcBorders>
                </w:tcPr>
                <w:p/>
              </w:tc>
              <w:tc>
                <w:tcPr>
                  <w:tcW w:type="dxa" w:w="2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巡查软件</w:t>
                  </w:r>
                </w:p>
              </w:tc>
              <w:tc>
                <w:tcPr>
                  <w:tcW w:type="dxa" w:w="21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支持SIP(RFC3261)、RTP/RTCP、GB/T28181协议；</w:t>
                  </w:r>
                  <w:r>
                    <w:br/>
                  </w:r>
                  <w:r>
                    <w:rPr>
                      <w:rFonts w:ascii="仿宋_GB2312" w:hAnsi="仿宋_GB2312" w:cs="仿宋_GB2312" w:eastAsia="仿宋_GB2312"/>
                      <w:sz w:val="19"/>
                      <w:color w:val="000000"/>
                    </w:rPr>
                    <w:t xml:space="preserve"> 提供网络实时视频监控、矩阵上墙管理、录像回放、录像下载等功能。系统提供获取区域视频源列表、实时视频预览、本地录像、抓拍、PTZ控制、矩阵上墙管理、矩阵预览控制、录像回放及下载等功能，支持移动侦测、遮挡、断线报警，报警响应实践≤4秒；支持报警信息接收、弹窗提示、日志记录；支持与市级巡查平台互联互通，实现视频调阅、回访上传。</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299"/>
                  <w:vMerge/>
                  <w:tcBorders>
                    <w:top w:val="single" w:color="000000" w:sz="4"/>
                    <w:left w:val="single" w:color="000000" w:sz="4"/>
                    <w:bottom w:val="single" w:color="000000" w:sz="4"/>
                    <w:right w:val="single" w:color="000000" w:sz="4"/>
                  </w:tcBorders>
                </w:tcPr>
                <w:p/>
              </w:tc>
              <w:tc>
                <w:tcPr>
                  <w:tcW w:type="dxa" w:w="2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存储硬盘</w:t>
                  </w:r>
                </w:p>
              </w:tc>
              <w:tc>
                <w:tcPr>
                  <w:tcW w:type="dxa" w:w="21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 xml:space="preserve"> 4T硬盘容量7200转</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块</w:t>
                  </w:r>
                </w:p>
              </w:tc>
            </w:tr>
            <w:tr>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299"/>
                  <w:vMerge/>
                  <w:tcBorders>
                    <w:top w:val="single" w:color="000000" w:sz="4"/>
                    <w:left w:val="single" w:color="000000" w:sz="4"/>
                    <w:bottom w:val="single" w:color="000000" w:sz="4"/>
                    <w:right w:val="single" w:color="000000" w:sz="4"/>
                  </w:tcBorders>
                </w:tcPr>
                <w:p/>
              </w:tc>
              <w:tc>
                <w:tcPr>
                  <w:tcW w:type="dxa" w:w="2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核心交换机</w:t>
                  </w:r>
                </w:p>
              </w:tc>
              <w:tc>
                <w:tcPr>
                  <w:tcW w:type="dxa" w:w="21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三层10/100/1000Mbps自适应千兆以太网交换机；端口数量：32个；支持VLAN；支持Web网管 支持通过Console口管理；端口描述：8个10/100/1000BASE-T自适应以太网口；控制端口：1个Console端口；16个独立100Mbps/1000Mbps SFP光口</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299"/>
                  <w:vMerge/>
                  <w:tcBorders>
                    <w:top w:val="single" w:color="000000" w:sz="4"/>
                    <w:left w:val="single" w:color="000000" w:sz="4"/>
                    <w:bottom w:val="single" w:color="000000" w:sz="4"/>
                    <w:right w:val="single" w:color="000000" w:sz="4"/>
                  </w:tcBorders>
                </w:tcPr>
                <w:p/>
              </w:tc>
              <w:tc>
                <w:tcPr>
                  <w:tcW w:type="dxa" w:w="2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管理主机</w:t>
                  </w:r>
                </w:p>
              </w:tc>
              <w:tc>
                <w:tcPr>
                  <w:tcW w:type="dxa" w:w="21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不低于i7 16G  1T固态 显卡不低于8G显存 WIN10（加键鼠） 显示器</w:t>
                  </w:r>
                  <w:r>
                    <w:rPr>
                      <w:rFonts w:ascii="仿宋_GB2312" w:hAnsi="仿宋_GB2312" w:cs="仿宋_GB2312" w:eastAsia="仿宋_GB2312"/>
                      <w:sz w:val="20"/>
                      <w:color w:val="000000"/>
                    </w:rPr>
                    <w:t>≥</w:t>
                  </w:r>
                  <w:r>
                    <w:rPr>
                      <w:rFonts w:ascii="仿宋_GB2312" w:hAnsi="仿宋_GB2312" w:cs="仿宋_GB2312" w:eastAsia="仿宋_GB2312"/>
                      <w:sz w:val="20"/>
                      <w:color w:val="000000"/>
                    </w:rPr>
                    <w:t>27寸</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299"/>
                  <w:vMerge/>
                  <w:tcBorders>
                    <w:top w:val="single" w:color="000000" w:sz="4"/>
                    <w:left w:val="single" w:color="000000" w:sz="4"/>
                    <w:bottom w:val="single" w:color="000000" w:sz="4"/>
                    <w:right w:val="single" w:color="000000" w:sz="4"/>
                  </w:tcBorders>
                </w:tcPr>
                <w:p/>
              </w:tc>
              <w:tc>
                <w:tcPr>
                  <w:tcW w:type="dxa" w:w="2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操作台</w:t>
                  </w:r>
                </w:p>
              </w:tc>
              <w:tc>
                <w:tcPr>
                  <w:tcW w:type="dxa" w:w="21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一联3位，钢结构定制</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299"/>
                  <w:vMerge/>
                  <w:tcBorders>
                    <w:top w:val="single" w:color="000000" w:sz="4"/>
                    <w:left w:val="single" w:color="000000" w:sz="4"/>
                    <w:bottom w:val="single" w:color="000000" w:sz="4"/>
                    <w:right w:val="single" w:color="000000" w:sz="4"/>
                  </w:tcBorders>
                </w:tcPr>
                <w:p/>
              </w:tc>
              <w:tc>
                <w:tcPr>
                  <w:tcW w:type="dxa" w:w="2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操作电脑</w:t>
                  </w:r>
                </w:p>
              </w:tc>
              <w:tc>
                <w:tcPr>
                  <w:tcW w:type="dxa" w:w="21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不低于i5 16G 512G 2G显存 WIN10   加键鼠 显示器≥23.8寸</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299"/>
                  <w:vMerge/>
                  <w:tcBorders>
                    <w:top w:val="single" w:color="000000" w:sz="4"/>
                    <w:left w:val="single" w:color="000000" w:sz="4"/>
                    <w:bottom w:val="single" w:color="000000" w:sz="4"/>
                    <w:right w:val="single" w:color="000000" w:sz="4"/>
                  </w:tcBorders>
                </w:tcPr>
                <w:p/>
              </w:tc>
              <w:tc>
                <w:tcPr>
                  <w:tcW w:type="dxa" w:w="2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灭火器</w:t>
                  </w:r>
                </w:p>
              </w:tc>
              <w:tc>
                <w:tcPr>
                  <w:tcW w:type="dxa" w:w="21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二氧化碳（3公斤）；装粉量：(kg) 3+-0.05 ；N2压力：(Mpa)1.2</w:t>
                  </w:r>
                  <w:r>
                    <w:br/>
                  </w:r>
                  <w:r>
                    <w:rPr>
                      <w:rFonts w:ascii="仿宋_GB2312" w:hAnsi="仿宋_GB2312" w:cs="仿宋_GB2312" w:eastAsia="仿宋_GB2312"/>
                      <w:sz w:val="19"/>
                      <w:color w:val="000000"/>
                    </w:rPr>
                    <w:t xml:space="preserve"> 喷射时间(s)： &gt;6 ；喷射距离(m)：&gt;=2.5 ；使用温度(oc)： -20——+55</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瓶</w:t>
                  </w:r>
                </w:p>
              </w:tc>
            </w:tr>
            <w:tr>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299"/>
                  <w:vMerge/>
                  <w:tcBorders>
                    <w:top w:val="single" w:color="000000" w:sz="4"/>
                    <w:left w:val="single" w:color="000000" w:sz="4"/>
                    <w:bottom w:val="single" w:color="000000" w:sz="4"/>
                    <w:right w:val="single" w:color="000000" w:sz="4"/>
                  </w:tcBorders>
                </w:tcPr>
                <w:p/>
              </w:tc>
              <w:tc>
                <w:tcPr>
                  <w:tcW w:type="dxa" w:w="2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防雷系统</w:t>
                  </w:r>
                </w:p>
              </w:tc>
              <w:tc>
                <w:tcPr>
                  <w:tcW w:type="dxa" w:w="21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工作电压220V-285V;最大放电电流20KA;19寸机柜式标准插座防雷器，全铝合金结构。</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c>
                <w:tcPr>
                  <w:tcW w:type="dxa" w:w="299"/>
                  <w:vMerge/>
                  <w:tcBorders>
                    <w:top w:val="single" w:color="000000" w:sz="4"/>
                    <w:left w:val="single" w:color="000000" w:sz="4"/>
                    <w:bottom w:val="single" w:color="000000" w:sz="4"/>
                    <w:right w:val="single" w:color="000000" w:sz="4"/>
                  </w:tcBorders>
                </w:tcPr>
                <w:p/>
              </w:tc>
              <w:tc>
                <w:tcPr>
                  <w:tcW w:type="dxa" w:w="2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机柜</w:t>
                  </w:r>
                </w:p>
              </w:tc>
              <w:tc>
                <w:tcPr>
                  <w:tcW w:type="dxa" w:w="21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含19英寸PDU</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c>
                <w:tcPr>
                  <w:tcW w:type="dxa" w:w="299"/>
                  <w:vMerge/>
                  <w:tcBorders>
                    <w:top w:val="single" w:color="000000" w:sz="4"/>
                    <w:left w:val="single" w:color="000000" w:sz="4"/>
                    <w:bottom w:val="single" w:color="000000" w:sz="4"/>
                    <w:right w:val="single" w:color="000000" w:sz="4"/>
                  </w:tcBorders>
                </w:tcPr>
                <w:p/>
              </w:tc>
              <w:tc>
                <w:tcPr>
                  <w:tcW w:type="dxa" w:w="2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空调1</w:t>
                  </w:r>
                </w:p>
              </w:tc>
              <w:tc>
                <w:tcPr>
                  <w:tcW w:type="dxa" w:w="21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3P柜机，含安装附件，安装到位。</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c>
                <w:tcPr>
                  <w:tcW w:type="dxa" w:w="299"/>
                  <w:vMerge/>
                  <w:tcBorders>
                    <w:top w:val="single" w:color="000000" w:sz="4"/>
                    <w:left w:val="single" w:color="000000" w:sz="4"/>
                    <w:bottom w:val="single" w:color="000000" w:sz="4"/>
                    <w:right w:val="single" w:color="000000" w:sz="4"/>
                  </w:tcBorders>
                </w:tcPr>
                <w:p/>
              </w:tc>
              <w:tc>
                <w:tcPr>
                  <w:tcW w:type="dxa" w:w="2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空调2</w:t>
                  </w:r>
                </w:p>
              </w:tc>
              <w:tc>
                <w:tcPr>
                  <w:tcW w:type="dxa" w:w="21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3P柜机，含安装附件，安装到位。</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c>
                <w:tcPr>
                  <w:tcW w:type="dxa" w:w="299"/>
                  <w:vMerge/>
                  <w:tcBorders>
                    <w:top w:val="single" w:color="000000" w:sz="4"/>
                    <w:left w:val="single" w:color="000000" w:sz="4"/>
                    <w:bottom w:val="single" w:color="000000" w:sz="4"/>
                    <w:right w:val="single" w:color="000000" w:sz="4"/>
                  </w:tcBorders>
                </w:tcPr>
                <w:p/>
              </w:tc>
              <w:tc>
                <w:tcPr>
                  <w:tcW w:type="dxa" w:w="2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茶吧机</w:t>
                  </w:r>
                </w:p>
              </w:tc>
              <w:tc>
                <w:tcPr>
                  <w:tcW w:type="dxa" w:w="21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定制</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w:t>
                  </w:r>
                </w:p>
              </w:tc>
              <w:tc>
                <w:tcPr>
                  <w:tcW w:type="dxa" w:w="299"/>
                  <w:vMerge/>
                  <w:tcBorders>
                    <w:top w:val="single" w:color="000000" w:sz="4"/>
                    <w:left w:val="single" w:color="000000" w:sz="4"/>
                    <w:bottom w:val="single" w:color="000000" w:sz="4"/>
                    <w:right w:val="single" w:color="000000" w:sz="4"/>
                  </w:tcBorders>
                </w:tcPr>
                <w:p/>
              </w:tc>
              <w:tc>
                <w:tcPr>
                  <w:tcW w:type="dxa" w:w="2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操作台配套座椅</w:t>
                  </w:r>
                </w:p>
              </w:tc>
              <w:tc>
                <w:tcPr>
                  <w:tcW w:type="dxa" w:w="21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定制</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把</w:t>
                  </w:r>
                </w:p>
              </w:tc>
            </w:tr>
            <w:tr>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w:t>
                  </w:r>
                </w:p>
              </w:tc>
              <w:tc>
                <w:tcPr>
                  <w:tcW w:type="dxa" w:w="299"/>
                  <w:vMerge/>
                  <w:tcBorders>
                    <w:top w:val="single" w:color="000000" w:sz="4"/>
                    <w:left w:val="single" w:color="000000" w:sz="4"/>
                    <w:bottom w:val="single" w:color="000000" w:sz="4"/>
                    <w:right w:val="single" w:color="000000" w:sz="4"/>
                  </w:tcBorders>
                </w:tcPr>
                <w:p/>
              </w:tc>
              <w:tc>
                <w:tcPr>
                  <w:tcW w:type="dxa" w:w="2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UPS</w:t>
                  </w:r>
                </w:p>
              </w:tc>
              <w:tc>
                <w:tcPr>
                  <w:tcW w:type="dxa" w:w="21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在线式10KVA，可延时2小时以上。（含电池）</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w:t>
                  </w:r>
                </w:p>
              </w:tc>
              <w:tc>
                <w:tcPr>
                  <w:tcW w:type="dxa" w:w="29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会议桌+座椅</w:t>
                  </w:r>
                </w:p>
              </w:tc>
              <w:tc>
                <w:tcPr>
                  <w:tcW w:type="dxa" w:w="21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10把椅子 10人会议桌</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7"/>
              </w:rPr>
              <w:t>2.显示器</w:t>
            </w:r>
          </w:p>
          <w:tbl>
            <w:tblPr>
              <w:tblBorders>
                <w:top w:val="single"/>
                <w:left w:val="single"/>
                <w:bottom w:val="single"/>
                <w:right w:val="single"/>
                <w:insideH w:val="single"/>
                <w:insideV w:val="single"/>
              </w:tblBorders>
            </w:tblPr>
            <w:tblGrid>
              <w:gridCol w:w="121"/>
              <w:gridCol w:w="299"/>
              <w:gridCol w:w="285"/>
              <w:gridCol w:w="2132"/>
              <w:gridCol w:w="196"/>
              <w:gridCol w:w="156"/>
            </w:tblGrid>
            <w:tr>
              <w:tc>
                <w:tcPr>
                  <w:tcW w:type="dxa" w:w="12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序号</w:t>
                  </w:r>
                </w:p>
              </w:tc>
              <w:tc>
                <w:tcPr>
                  <w:tcW w:type="dxa" w:w="29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使用场所</w:t>
                  </w:r>
                </w:p>
              </w:tc>
              <w:tc>
                <w:tcPr>
                  <w:tcW w:type="dxa" w:w="28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设备名称</w:t>
                  </w:r>
                </w:p>
              </w:tc>
              <w:tc>
                <w:tcPr>
                  <w:tcW w:type="dxa" w:w="213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技术参数</w:t>
                  </w:r>
                </w:p>
              </w:tc>
              <w:tc>
                <w:tcPr>
                  <w:tcW w:type="dxa" w:w="19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数量</w:t>
                  </w:r>
                </w:p>
              </w:tc>
              <w:tc>
                <w:tcPr>
                  <w:tcW w:type="dxa" w:w="1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单位</w:t>
                  </w:r>
                </w:p>
              </w:tc>
            </w:tr>
            <w:tr>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9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显示屏</w:t>
                  </w:r>
                </w:p>
              </w:tc>
              <w:tc>
                <w:tcPr>
                  <w:tcW w:type="dxa" w:w="2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电视墙支架</w:t>
                  </w:r>
                </w:p>
              </w:tc>
              <w:tc>
                <w:tcPr>
                  <w:tcW w:type="dxa" w:w="21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支持安装实际的拼接屏显示器</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99"/>
                  <w:vMerge/>
                  <w:tcBorders>
                    <w:top w:val="single" w:color="000000" w:sz="4"/>
                    <w:left w:val="single" w:color="000000" w:sz="4"/>
                    <w:bottom w:val="single" w:color="000000" w:sz="4"/>
                    <w:right w:val="single" w:color="000000" w:sz="4"/>
                  </w:tcBorders>
                </w:tcPr>
                <w:p/>
              </w:tc>
              <w:tc>
                <w:tcPr>
                  <w:tcW w:type="dxa" w:w="2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解码矩阵</w:t>
                  </w:r>
                </w:p>
              </w:tc>
              <w:tc>
                <w:tcPr>
                  <w:tcW w:type="dxa" w:w="21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解码矩阵，12路HDMI输入,12路HDMI输出，实现整屏显示；；基于嵌入式硬件平台开发的一款解码设备；支持HDMI输出口解码输出；支持H.265、H.264、MPEG4、MJPEG等多种编码码流解码，解码性能强劲，支持4K超高清输出；支持H.265、H.264、MPEG4、MJPEG等主流的编码格式的解码；支持PS、RTP、TS、ES等主流的封装格式的解码；支持H.265、H.264的Baseline、Main、High-profile编码级别的解码；多元化的解码控制模式；支持主动解码和被动解码两种解码模式；支持VGA、DVI本地输入；支持窗口分屏功能；支持远程录像文件的解码输出；支持DDNS前端解码；支持直连前端设备解码上墙和通过流媒体转发的方式解码上墙；支持使用RTSP URL方式从编码设备取流解码；支持ONVIF标准协议接入设备，支持GB28181协议接入设备；支持RTP\RTSP协议进行网络源预览；支持平台以SDK方式集成设备；完备的运维管理；支持Web方式访问、配置和管理；支持远程获取和配置参数，支持远程导出和导入参数；支持远程获取系统运行状态、系统日志；支持远程重启、恢复默认配置、升级等日常维护</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299"/>
                  <w:vMerge/>
                  <w:tcBorders>
                    <w:top w:val="single" w:color="000000" w:sz="4"/>
                    <w:left w:val="single" w:color="000000" w:sz="4"/>
                    <w:bottom w:val="single" w:color="000000" w:sz="4"/>
                    <w:right w:val="single" w:color="000000" w:sz="4"/>
                  </w:tcBorders>
                </w:tcPr>
                <w:p/>
              </w:tc>
              <w:tc>
                <w:tcPr>
                  <w:tcW w:type="dxa" w:w="2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液晶显示屏</w:t>
                  </w:r>
                </w:p>
              </w:tc>
              <w:tc>
                <w:tcPr>
                  <w:tcW w:type="dxa" w:w="21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55英寸，图像分辨率：1080P，对比度3500：1，显示色彩：16.7M，屏幕比例：16：9，输入信号：CVBS（BNC）</w:t>
                  </w:r>
                  <w:r>
                    <w:rPr>
                      <w:rFonts w:ascii="仿宋_GB2312" w:hAnsi="仿宋_GB2312" w:cs="仿宋_GB2312" w:eastAsia="仿宋_GB2312"/>
                      <w:sz w:val="20"/>
                      <w:color w:val="000000"/>
                    </w:rPr>
                    <w:t>≧</w:t>
                  </w:r>
                  <w:r>
                    <w:rPr>
                      <w:rFonts w:ascii="仿宋_GB2312" w:hAnsi="仿宋_GB2312" w:cs="仿宋_GB2312" w:eastAsia="仿宋_GB2312"/>
                      <w:sz w:val="20"/>
                      <w:color w:val="000000"/>
                    </w:rPr>
                    <w:t>1、VGA（DB-15）≧1、DVI（DVI-I）≧1、HDMI ≧1</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299"/>
                  <w:vMerge/>
                  <w:tcBorders>
                    <w:top w:val="single" w:color="000000" w:sz="4"/>
                    <w:left w:val="single" w:color="000000" w:sz="4"/>
                    <w:bottom w:val="single" w:color="000000" w:sz="4"/>
                    <w:right w:val="single" w:color="000000" w:sz="4"/>
                  </w:tcBorders>
                </w:tcPr>
                <w:p/>
              </w:tc>
              <w:tc>
                <w:tcPr>
                  <w:tcW w:type="dxa" w:w="2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条形显示屏</w:t>
                  </w:r>
                </w:p>
              </w:tc>
              <w:tc>
                <w:tcPr>
                  <w:tcW w:type="dxa" w:w="21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 xml:space="preserve">LED条形显示屏 </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7"/>
              </w:rPr>
              <w:t>3.集成部分</w:t>
            </w:r>
          </w:p>
          <w:tbl>
            <w:tblPr>
              <w:tblBorders>
                <w:top w:val="single"/>
                <w:left w:val="single"/>
                <w:bottom w:val="single"/>
                <w:right w:val="single"/>
                <w:insideH w:val="single"/>
                <w:insideV w:val="single"/>
              </w:tblBorders>
            </w:tblPr>
            <w:tblGrid>
              <w:gridCol w:w="121"/>
              <w:gridCol w:w="299"/>
              <w:gridCol w:w="285"/>
              <w:gridCol w:w="2132"/>
              <w:gridCol w:w="196"/>
              <w:gridCol w:w="156"/>
            </w:tblGrid>
            <w:tr>
              <w:tc>
                <w:tcPr>
                  <w:tcW w:type="dxa" w:w="12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序号</w:t>
                  </w:r>
                </w:p>
              </w:tc>
              <w:tc>
                <w:tcPr>
                  <w:tcW w:type="dxa" w:w="29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使用场所</w:t>
                  </w:r>
                </w:p>
              </w:tc>
              <w:tc>
                <w:tcPr>
                  <w:tcW w:type="dxa" w:w="28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设备名称</w:t>
                  </w:r>
                </w:p>
              </w:tc>
              <w:tc>
                <w:tcPr>
                  <w:tcW w:type="dxa" w:w="213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技术参数</w:t>
                  </w:r>
                </w:p>
              </w:tc>
              <w:tc>
                <w:tcPr>
                  <w:tcW w:type="dxa" w:w="19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数量</w:t>
                  </w:r>
                </w:p>
              </w:tc>
              <w:tc>
                <w:tcPr>
                  <w:tcW w:type="dxa" w:w="1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单位</w:t>
                  </w:r>
                </w:p>
              </w:tc>
            </w:tr>
            <w:tr>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9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线材辅材及施工</w:t>
                  </w:r>
                </w:p>
              </w:tc>
              <w:tc>
                <w:tcPr>
                  <w:tcW w:type="dxa" w:w="2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线材附件</w:t>
                  </w:r>
                </w:p>
              </w:tc>
              <w:tc>
                <w:tcPr>
                  <w:tcW w:type="dxa" w:w="21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电源线、网线、HDMI高清视频线、光纤等所需线材辅材</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批</w:t>
                  </w:r>
                </w:p>
              </w:tc>
            </w:tr>
            <w:tr>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99"/>
                  <w:vMerge/>
                  <w:tcBorders>
                    <w:top w:val="single" w:color="000000" w:sz="4"/>
                    <w:left w:val="single" w:color="000000" w:sz="4"/>
                    <w:bottom w:val="single" w:color="000000" w:sz="4"/>
                    <w:right w:val="single" w:color="000000" w:sz="4"/>
                  </w:tcBorders>
                </w:tcPr>
                <w:p/>
              </w:tc>
              <w:tc>
                <w:tcPr>
                  <w:tcW w:type="dxa" w:w="2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其他辅材</w:t>
                  </w:r>
                </w:p>
              </w:tc>
              <w:tc>
                <w:tcPr>
                  <w:tcW w:type="dxa" w:w="21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强电桥架、PVC线槽、线管、钢丝、线卡、胶布、插座、水晶头等</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批</w:t>
                  </w:r>
                </w:p>
              </w:tc>
            </w:tr>
            <w:tr>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299"/>
                  <w:vMerge/>
                  <w:tcBorders>
                    <w:top w:val="single" w:color="000000" w:sz="4"/>
                    <w:left w:val="single" w:color="000000" w:sz="4"/>
                    <w:bottom w:val="single" w:color="000000" w:sz="4"/>
                    <w:right w:val="single" w:color="000000" w:sz="4"/>
                  </w:tcBorders>
                </w:tcPr>
                <w:p/>
              </w:tc>
              <w:tc>
                <w:tcPr>
                  <w:tcW w:type="dxa" w:w="2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安装调试人工费</w:t>
                  </w:r>
                </w:p>
              </w:tc>
              <w:tc>
                <w:tcPr>
                  <w:tcW w:type="dxa" w:w="213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7"/>
                <w:b/>
              </w:rPr>
              <w:t>4.室内装饰装修</w:t>
            </w:r>
          </w:p>
          <w:tbl>
            <w:tblPr>
              <w:tblBorders>
                <w:top w:val="single"/>
                <w:left w:val="single"/>
                <w:bottom w:val="single"/>
                <w:right w:val="single"/>
                <w:insideH w:val="single"/>
                <w:insideV w:val="single"/>
              </w:tblBorders>
            </w:tblPr>
            <w:tblGrid>
              <w:gridCol w:w="121"/>
              <w:gridCol w:w="299"/>
              <w:gridCol w:w="285"/>
              <w:gridCol w:w="2132"/>
              <w:gridCol w:w="196"/>
              <w:gridCol w:w="156"/>
            </w:tblGrid>
            <w:tr>
              <w:tc>
                <w:tcPr>
                  <w:tcW w:type="dxa" w:w="12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序号</w:t>
                  </w:r>
                </w:p>
              </w:tc>
              <w:tc>
                <w:tcPr>
                  <w:tcW w:type="dxa" w:w="29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使用场所</w:t>
                  </w:r>
                </w:p>
              </w:tc>
              <w:tc>
                <w:tcPr>
                  <w:tcW w:type="dxa" w:w="28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设备名称</w:t>
                  </w:r>
                </w:p>
              </w:tc>
              <w:tc>
                <w:tcPr>
                  <w:tcW w:type="dxa" w:w="213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技术参数</w:t>
                  </w:r>
                </w:p>
              </w:tc>
              <w:tc>
                <w:tcPr>
                  <w:tcW w:type="dxa" w:w="19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数量</w:t>
                  </w:r>
                </w:p>
              </w:tc>
              <w:tc>
                <w:tcPr>
                  <w:tcW w:type="dxa" w:w="1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单位</w:t>
                  </w:r>
                </w:p>
              </w:tc>
            </w:tr>
            <w:tr>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99"/>
                  <w:tcBorders>
                    <w:top w:val="single" w:color="000000" w:sz="4"/>
                    <w:left w:val="single" w:color="000000" w:sz="4"/>
                    <w:bottom w:val="single" w:color="000000" w:sz="4"/>
                    <w:right w:val="single" w:color="000000" w:sz="4"/>
                  </w:tcBorders>
                  <w:shd w:fill="D9D9D9"/>
                  <w:tcMar>
                    <w:top w:type="dxa" w:w="15"/>
                    <w:left w:type="dxa" w:w="15"/>
                    <w:right w:type="dxa" w:w="15"/>
                  </w:tcMar>
                  <w:vAlign w:val="center"/>
                </w:tcPr>
                <w:p>
                  <w:pPr>
                    <w:pStyle w:val="null3"/>
                    <w:jc w:val="left"/>
                  </w:pPr>
                  <w:r>
                    <w:rPr>
                      <w:rFonts w:ascii="仿宋_GB2312" w:hAnsi="仿宋_GB2312" w:cs="仿宋_GB2312" w:eastAsia="仿宋_GB2312"/>
                      <w:sz w:val="19"/>
                      <w:b/>
                      <w:color w:val="000000"/>
                    </w:rPr>
                    <w:t>a.地面工程</w:t>
                  </w:r>
                </w:p>
              </w:tc>
              <w:tc>
                <w:tcPr>
                  <w:tcW w:type="dxa" w:w="2417"/>
                  <w:gridSpan w:val="2"/>
                  <w:tcBorders>
                    <w:top w:val="single" w:color="000000" w:sz="4"/>
                    <w:left w:val="single" w:color="000000" w:sz="4"/>
                    <w:bottom w:val="single" w:color="000000" w:sz="4"/>
                    <w:right w:val="single" w:color="000000" w:sz="4"/>
                  </w:tcBorders>
                  <w:shd w:fill="D9D9D9"/>
                  <w:tcMar>
                    <w:top w:type="dxa" w:w="15"/>
                    <w:left w:type="dxa" w:w="15"/>
                    <w:right w:type="dxa" w:w="15"/>
                  </w:tcMar>
                  <w:vAlign w:val="center"/>
                </w:tcPr>
                <w:p/>
              </w:tc>
              <w:tc>
                <w:tcPr>
                  <w:tcW w:type="dxa" w:w="196"/>
                  <w:tcBorders>
                    <w:top w:val="single" w:color="000000" w:sz="4"/>
                    <w:left w:val="single" w:color="000000" w:sz="4"/>
                    <w:bottom w:val="single" w:color="000000" w:sz="4"/>
                    <w:right w:val="single" w:color="000000" w:sz="4"/>
                  </w:tcBorders>
                  <w:shd w:fill="D9D9D9"/>
                  <w:tcMar>
                    <w:top w:type="dxa" w:w="15"/>
                    <w:left w:type="dxa" w:w="15"/>
                    <w:right w:type="dxa" w:w="15"/>
                  </w:tcMar>
                  <w:vAlign w:val="center"/>
                </w:tcPr>
                <w:p/>
              </w:tc>
              <w:tc>
                <w:tcPr>
                  <w:tcW w:type="dxa" w:w="156"/>
                  <w:tcBorders>
                    <w:top w:val="single" w:color="000000" w:sz="4"/>
                    <w:left w:val="single" w:color="000000" w:sz="4"/>
                    <w:bottom w:val="single" w:color="000000" w:sz="4"/>
                    <w:right w:val="single" w:color="000000" w:sz="4"/>
                  </w:tcBorders>
                  <w:shd w:fill="D9D9D9"/>
                  <w:tcMar>
                    <w:top w:type="dxa" w:w="15"/>
                    <w:left w:type="dxa" w:w="15"/>
                    <w:right w:type="dxa" w:w="15"/>
                  </w:tcMar>
                  <w:vAlign w:val="center"/>
                </w:tcPr>
                <w:p/>
              </w:tc>
            </w:tr>
            <w:tr>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600*600防静电地板（PVC面）</w:t>
                  </w:r>
                </w:p>
              </w:tc>
              <w:tc>
                <w:tcPr>
                  <w:tcW w:type="dxa" w:w="2417"/>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主材，人工费与辅料</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58.00 </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w:t>
                  </w:r>
                </w:p>
              </w:tc>
            </w:tr>
            <w:tr>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299"/>
                  <w:tcBorders>
                    <w:top w:val="single" w:color="000000" w:sz="4"/>
                    <w:left w:val="single" w:color="000000" w:sz="4"/>
                    <w:bottom w:val="single" w:color="000000" w:sz="4"/>
                    <w:right w:val="single" w:color="000000" w:sz="4"/>
                  </w:tcBorders>
                  <w:shd w:fill="D9D9D9"/>
                  <w:tcMar>
                    <w:top w:type="dxa" w:w="15"/>
                    <w:left w:type="dxa" w:w="15"/>
                    <w:right w:type="dxa" w:w="15"/>
                  </w:tcMar>
                  <w:vAlign w:val="center"/>
                </w:tcPr>
                <w:p>
                  <w:pPr>
                    <w:pStyle w:val="null3"/>
                    <w:jc w:val="left"/>
                  </w:pPr>
                  <w:r>
                    <w:rPr>
                      <w:rFonts w:ascii="仿宋_GB2312" w:hAnsi="仿宋_GB2312" w:cs="仿宋_GB2312" w:eastAsia="仿宋_GB2312"/>
                      <w:sz w:val="19"/>
                      <w:b/>
                      <w:color w:val="000000"/>
                    </w:rPr>
                    <w:t>d电路</w:t>
                  </w:r>
                </w:p>
              </w:tc>
              <w:tc>
                <w:tcPr>
                  <w:tcW w:type="dxa" w:w="2417"/>
                  <w:gridSpan w:val="2"/>
                  <w:tcBorders>
                    <w:top w:val="single" w:color="000000" w:sz="4"/>
                    <w:left w:val="single" w:color="000000" w:sz="4"/>
                    <w:bottom w:val="single" w:color="000000" w:sz="4"/>
                    <w:right w:val="single" w:color="000000" w:sz="4"/>
                  </w:tcBorders>
                  <w:shd w:fill="D9D9D9"/>
                  <w:tcMar>
                    <w:top w:type="dxa" w:w="15"/>
                    <w:left w:type="dxa" w:w="15"/>
                    <w:right w:type="dxa" w:w="15"/>
                  </w:tcMar>
                  <w:vAlign w:val="center"/>
                </w:tcPr>
                <w:p/>
              </w:tc>
              <w:tc>
                <w:tcPr>
                  <w:tcW w:type="dxa" w:w="196"/>
                  <w:tcBorders>
                    <w:top w:val="single" w:color="000000" w:sz="4"/>
                    <w:left w:val="single" w:color="000000" w:sz="4"/>
                    <w:bottom w:val="single" w:color="000000" w:sz="4"/>
                    <w:right w:val="single" w:color="000000" w:sz="4"/>
                  </w:tcBorders>
                  <w:shd w:fill="D9D9D9"/>
                  <w:tcMar>
                    <w:top w:type="dxa" w:w="15"/>
                    <w:left w:type="dxa" w:w="15"/>
                    <w:right w:type="dxa" w:w="15"/>
                  </w:tcMar>
                  <w:vAlign w:val="center"/>
                </w:tcPr>
                <w:p/>
              </w:tc>
              <w:tc>
                <w:tcPr>
                  <w:tcW w:type="dxa" w:w="156"/>
                  <w:tcBorders>
                    <w:top w:val="single" w:color="000000" w:sz="4"/>
                    <w:left w:val="single" w:color="000000" w:sz="4"/>
                    <w:bottom w:val="single" w:color="000000" w:sz="4"/>
                    <w:right w:val="single" w:color="000000" w:sz="4"/>
                  </w:tcBorders>
                  <w:shd w:fill="D9D9D9"/>
                  <w:tcMar>
                    <w:top w:type="dxa" w:w="15"/>
                    <w:left w:type="dxa" w:w="15"/>
                    <w:right w:type="dxa" w:w="15"/>
                  </w:tcMar>
                  <w:vAlign w:val="center"/>
                </w:tcPr>
                <w:p/>
              </w:tc>
            </w:tr>
            <w:tr>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2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射灯</w:t>
                  </w:r>
                </w:p>
              </w:tc>
              <w:tc>
                <w:tcPr>
                  <w:tcW w:type="dxa" w:w="2417"/>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LED射灯</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40.00 </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2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灯带</w:t>
                  </w:r>
                </w:p>
              </w:tc>
              <w:tc>
                <w:tcPr>
                  <w:tcW w:type="dxa" w:w="2417"/>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低压灯带，含变压器</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30.00 </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w:t>
                  </w:r>
                </w:p>
              </w:tc>
            </w:tr>
            <w:tr>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2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格栅长条灯</w:t>
                  </w:r>
                </w:p>
              </w:tc>
              <w:tc>
                <w:tcPr>
                  <w:tcW w:type="dxa" w:w="2417"/>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60*10*4cmLED长条灯，含人工，材料</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25.00 </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2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开关插座</w:t>
                  </w:r>
                </w:p>
              </w:tc>
              <w:tc>
                <w:tcPr>
                  <w:tcW w:type="dxa" w:w="2417"/>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含人工，材料</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 </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r>
            <w:tr>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2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强弱电铺设</w:t>
                  </w:r>
                </w:p>
              </w:tc>
              <w:tc>
                <w:tcPr>
                  <w:tcW w:type="dxa" w:w="2417"/>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含人工，材料</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116.00 </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w:t>
                  </w:r>
                </w:p>
              </w:tc>
            </w:tr>
            <w:tr>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2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配电箱及空开</w:t>
                  </w:r>
                </w:p>
              </w:tc>
              <w:tc>
                <w:tcPr>
                  <w:tcW w:type="dxa" w:w="2417"/>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含人工，材料</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 </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r>
            <w:tr>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2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暖气拆除</w:t>
                  </w:r>
                </w:p>
              </w:tc>
              <w:tc>
                <w:tcPr>
                  <w:tcW w:type="dxa" w:w="2417"/>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人工辅料</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3.00 </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组</w:t>
                  </w:r>
                </w:p>
              </w:tc>
            </w:tr>
            <w:tr>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w:t>
                  </w:r>
                </w:p>
              </w:tc>
              <w:tc>
                <w:tcPr>
                  <w:tcW w:type="dxa" w:w="299"/>
                  <w:tcBorders>
                    <w:top w:val="single" w:color="000000" w:sz="4"/>
                    <w:left w:val="single" w:color="000000" w:sz="4"/>
                    <w:bottom w:val="single" w:color="000000" w:sz="4"/>
                    <w:right w:val="single" w:color="000000" w:sz="4"/>
                  </w:tcBorders>
                  <w:shd w:fill="D9D9D9"/>
                  <w:tcMar>
                    <w:top w:type="dxa" w:w="15"/>
                    <w:left w:type="dxa" w:w="15"/>
                    <w:right w:type="dxa" w:w="15"/>
                  </w:tcMar>
                  <w:vAlign w:val="center"/>
                </w:tcPr>
                <w:p>
                  <w:pPr>
                    <w:pStyle w:val="null3"/>
                    <w:jc w:val="left"/>
                  </w:pPr>
                  <w:r>
                    <w:rPr>
                      <w:rFonts w:ascii="仿宋_GB2312" w:hAnsi="仿宋_GB2312" w:cs="仿宋_GB2312" w:eastAsia="仿宋_GB2312"/>
                      <w:sz w:val="19"/>
                      <w:b/>
                      <w:color w:val="000000"/>
                    </w:rPr>
                    <w:t>其他</w:t>
                  </w:r>
                </w:p>
              </w:tc>
              <w:tc>
                <w:tcPr>
                  <w:tcW w:type="dxa" w:w="2417"/>
                  <w:gridSpan w:val="2"/>
                  <w:tcBorders>
                    <w:top w:val="single" w:color="000000" w:sz="4"/>
                    <w:left w:val="single" w:color="000000" w:sz="4"/>
                    <w:bottom w:val="single" w:color="000000" w:sz="4"/>
                    <w:right w:val="single" w:color="000000" w:sz="4"/>
                  </w:tcBorders>
                  <w:shd w:fill="D9D9D9"/>
                  <w:tcMar>
                    <w:top w:type="dxa" w:w="15"/>
                    <w:left w:type="dxa" w:w="15"/>
                    <w:right w:type="dxa" w:w="15"/>
                  </w:tcMar>
                  <w:vAlign w:val="center"/>
                </w:tcPr>
                <w:p/>
              </w:tc>
              <w:tc>
                <w:tcPr>
                  <w:tcW w:type="dxa" w:w="196"/>
                  <w:tcBorders>
                    <w:top w:val="single" w:color="000000" w:sz="4"/>
                    <w:left w:val="single" w:color="000000" w:sz="4"/>
                    <w:bottom w:val="single" w:color="000000" w:sz="4"/>
                    <w:right w:val="single" w:color="000000" w:sz="4"/>
                  </w:tcBorders>
                  <w:shd w:fill="D9D9D9"/>
                  <w:tcMar>
                    <w:top w:type="dxa" w:w="15"/>
                    <w:left w:type="dxa" w:w="15"/>
                    <w:right w:type="dxa" w:w="15"/>
                  </w:tcMar>
                  <w:vAlign w:val="center"/>
                </w:tcPr>
                <w:p/>
              </w:tc>
              <w:tc>
                <w:tcPr>
                  <w:tcW w:type="dxa" w:w="156"/>
                  <w:tcBorders>
                    <w:top w:val="single" w:color="000000" w:sz="4"/>
                    <w:left w:val="single" w:color="000000" w:sz="4"/>
                    <w:bottom w:val="single" w:color="000000" w:sz="4"/>
                    <w:right w:val="single" w:color="000000" w:sz="4"/>
                  </w:tcBorders>
                  <w:shd w:fill="D9D9D9"/>
                  <w:tcMar>
                    <w:top w:type="dxa" w:w="15"/>
                    <w:left w:type="dxa" w:w="15"/>
                    <w:right w:type="dxa" w:w="15"/>
                  </w:tcMar>
                  <w:vAlign w:val="center"/>
                </w:tcPr>
                <w:p/>
              </w:tc>
            </w:tr>
            <w:tr>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2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材料搬运费</w:t>
                  </w:r>
                </w:p>
              </w:tc>
              <w:tc>
                <w:tcPr>
                  <w:tcW w:type="dxa" w:w="2417"/>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rPr>
                    <w:t xml:space="preserve"> </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 </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r>
            <w:tr>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c>
                <w:tcPr>
                  <w:tcW w:type="dxa" w:w="2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吊轨移门</w:t>
                  </w:r>
                </w:p>
              </w:tc>
              <w:tc>
                <w:tcPr>
                  <w:tcW w:type="dxa" w:w="2417"/>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12.22 </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w:t>
                  </w:r>
                </w:p>
              </w:tc>
            </w:tr>
            <w:tr>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c>
                <w:tcPr>
                  <w:tcW w:type="dxa" w:w="2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封墙</w:t>
                  </w:r>
                </w:p>
              </w:tc>
              <w:tc>
                <w:tcPr>
                  <w:tcW w:type="dxa" w:w="2417"/>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5.30 </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w:t>
                  </w:r>
                </w:p>
              </w:tc>
            </w:tr>
            <w:tr>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c>
                <w:tcPr>
                  <w:tcW w:type="dxa" w:w="2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装饰面板</w:t>
                  </w:r>
                </w:p>
              </w:tc>
              <w:tc>
                <w:tcPr>
                  <w:tcW w:type="dxa" w:w="2417"/>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吸音板</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29.30 </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w:t>
                  </w:r>
                </w:p>
              </w:tc>
            </w:tr>
            <w:tr>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c>
                <w:tcPr>
                  <w:tcW w:type="dxa" w:w="2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包梁</w:t>
                  </w:r>
                </w:p>
              </w:tc>
              <w:tc>
                <w:tcPr>
                  <w:tcW w:type="dxa" w:w="2417"/>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16.00 </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20日历天完成交货及设备调试完成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潼关县高考指挥中心</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货物送达到采购人指定地点并安装调试完成</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验收合格结算审计完成后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（1）所供产品的规格、数量符合采购文件供应商投标承诺及采购合同约定的要求。 （2）所有产品均已运输至指定地点，并安装调试完毕。 （3）采购文件供应商投标承诺及采购合同约定的附件、工具、技术资料等齐全；提供产品使用说明书、合格证。</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质保期：硬件设备质保1年；设备维护、软件升级期限：3年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落实《国务院办公厅关于在政府采购中实施本国产品标准及相关政策的通知》，供应商对其提供的产品出具《关于符合本国产品标准的声明函》（样式见附件）或财政部会同有关部门规定的有关证明文件。 2、对本国产品的支持政策 ①政府采购活动中既有本国产品又有非本国产品参与竞争的，依法对本国产品给予价格评审优惠，对本国产品的报价给予20%的价格扣除，用扣除后的价格参与评审。 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3、在合同履行过程中，如相关国家标准发生更新或修订，一律以现行最新标准为准实施。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符合本国产品标准的声明函.docx 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负责人）参加投标的，须出具法定代表人（负责人）身份证明书及身份证两面扫描件；法定代表人（负责人）授权委托代理人参加投标的，须出具法定代表人（负责人）授权委托书及委托代理人身份证两面扫描件（委托代理人需提供开标前三个月内任意一个月的社保缴纳证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财务状况（三种形式的资料提供任何一种）</w:t>
            </w:r>
          </w:p>
        </w:tc>
        <w:tc>
          <w:tcPr>
            <w:tcW w:type="dxa" w:w="3322"/>
          </w:tcPr>
          <w:p>
            <w:pPr>
              <w:pStyle w:val="null3"/>
            </w:pPr>
            <w:r>
              <w:rPr>
                <w:rFonts w:ascii="仿宋_GB2312" w:hAnsi="仿宋_GB2312" w:cs="仿宋_GB2312" w:eastAsia="仿宋_GB2312"/>
              </w:rPr>
              <w:t>提供完整的2024年度或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提供投标文件截止时间一年内至少一个月的纳税证明或完税证明（任意税种），纳税证明或完税证明上应有代收机构或税务机关的公章或业务专用章；（依法不需要缴纳税收的投标供应商应提供相关证明）；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提供投标文件截止时间一年内至少一个月的社会保障资金缴存单据 或社保机构开具的社会保险参保缴费情况证明，单据或证明上应有社保机构或代收机构的公章或业务专用章；（依法不需要缴纳社会保障资金的投标供应商应提供相关证明）；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参加本次政府采购活动前三年内在经营活动中没有重大违法声明函</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信用情况</w:t>
            </w:r>
          </w:p>
        </w:tc>
        <w:tc>
          <w:tcPr>
            <w:tcW w:type="dxa" w:w="3322"/>
          </w:tcPr>
          <w:p>
            <w:pPr>
              <w:pStyle w:val="null3"/>
            </w:pPr>
            <w:r>
              <w:rPr>
                <w:rFonts w:ascii="仿宋_GB2312" w:hAnsi="仿宋_GB2312" w:cs="仿宋_GB2312" w:eastAsia="仿宋_GB2312"/>
              </w:rPr>
              <w:t>投标供应商不得被“信用中国”（www.creditchina.gov.cn ）列入重大税收违法失信主体；不得被“中国执行信息公开网”（www.zxgk.court.gov.cn ）列入失信被执行人名单；不得被“中国政府采购网”（www.ccgp.gov.cn ）列入政府采购严重违法失信行为记录名单；</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除明确允许供应商可以自行编写的外，磋商响应文件是否按照磋商文件给定的格式和要求编制</w:t>
            </w:r>
          </w:p>
        </w:tc>
        <w:tc>
          <w:tcPr>
            <w:tcW w:type="dxa" w:w="1661"/>
          </w:tcPr>
          <w:p>
            <w:pPr>
              <w:pStyle w:val="null3"/>
            </w:pPr>
            <w:r>
              <w:rPr>
                <w:rFonts w:ascii="仿宋_GB2312" w:hAnsi="仿宋_GB2312" w:cs="仿宋_GB2312" w:eastAsia="仿宋_GB2312"/>
              </w:rPr>
              <w:t>开标一览表 产品技术参数表 分项报价表.docx 投标函 中小企业声明函 残疾人福利性单位声明函 商务应答表 标的清单 投标文件封面 服务方案.docx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磋商响应文件是否按照磋商文件的要求盖章签字</w:t>
            </w:r>
          </w:p>
        </w:tc>
        <w:tc>
          <w:tcPr>
            <w:tcW w:type="dxa" w:w="1661"/>
          </w:tcPr>
          <w:p>
            <w:pPr>
              <w:pStyle w:val="null3"/>
            </w:pPr>
            <w:r>
              <w:rPr>
                <w:rFonts w:ascii="仿宋_GB2312" w:hAnsi="仿宋_GB2312" w:cs="仿宋_GB2312" w:eastAsia="仿宋_GB2312"/>
              </w:rPr>
              <w:t>开标一览表 产品技术参数表 分项报价表.docx 投标函 中小企业声明函 残疾人福利性单位声明函 商务应答表 标的清单 投标文件封面 服务方案.docx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未超过采购预算</w:t>
            </w:r>
          </w:p>
        </w:tc>
        <w:tc>
          <w:tcPr>
            <w:tcW w:type="dxa" w:w="1661"/>
          </w:tcPr>
          <w:p>
            <w:pPr>
              <w:pStyle w:val="null3"/>
            </w:pPr>
            <w:r>
              <w:rPr>
                <w:rFonts w:ascii="仿宋_GB2312" w:hAnsi="仿宋_GB2312" w:cs="仿宋_GB2312" w:eastAsia="仿宋_GB2312"/>
              </w:rPr>
              <w:t>开标一览表 产品技术参数表 分项报价表.docx 投标函 中小企业声明函 残疾人福利性单位声明函 商务应答表 标的清单 投标文件封面 资格证明文件.docx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有效期是否符合采购文件的要求</w:t>
            </w:r>
          </w:p>
        </w:tc>
        <w:tc>
          <w:tcPr>
            <w:tcW w:type="dxa" w:w="1661"/>
          </w:tcPr>
          <w:p>
            <w:pPr>
              <w:pStyle w:val="null3"/>
            </w:pPr>
            <w:r>
              <w:rPr>
                <w:rFonts w:ascii="仿宋_GB2312" w:hAnsi="仿宋_GB2312" w:cs="仿宋_GB2312" w:eastAsia="仿宋_GB2312"/>
              </w:rPr>
              <w:t>开标一览表 产品技术参数表 分项报价表.docx 投标函 中小企业声明函 残疾人福利性单位声明函 商务应答表 标的清单 投标文件封面 服务方案.docx 资格证明文件.docx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带▲部分技术参数，投标人需按要求提供证明材料，每项不满足扣0.5分；非带▲部分技术参数，每项不满足扣0.2分。以投标文件响应情况为依据，扣完为止。 说明：关键技术指标（▲项）供应商须提供相关技术指标证明材料予以佐证，若不提供，按不满足要求处理。证明材料不限于检测报告、试验报告、产品彩页、厂家出具的技术证明文件、功能截图等。供应商自行承担因材料提供不全导致的技术参数评审风险。</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产品功能</w:t>
            </w:r>
          </w:p>
        </w:tc>
        <w:tc>
          <w:tcPr>
            <w:tcW w:type="dxa" w:w="2492"/>
          </w:tcPr>
          <w:p>
            <w:pPr>
              <w:pStyle w:val="null3"/>
            </w:pPr>
            <w:r>
              <w:rPr>
                <w:rFonts w:ascii="仿宋_GB2312" w:hAnsi="仿宋_GB2312" w:cs="仿宋_GB2312" w:eastAsia="仿宋_GB2312"/>
              </w:rPr>
              <w:t>包括但不限于①产品配置齐全、②选型合理、③规格描述详细、④技术工艺先进等。1.完整性:内容全面，对评审内容中的各项要求有详细描述:2.可实施性:内容符合要求，合理，可实施性强:3.针对性:能够紧扣项目实际情况，满足具体要求。赋分标准(12分): ①每一项评审内容完全满足评审标准得3分; ②每一项评审内容，若存在不明确、不合理、不完整、针对性不强等方面，扣0.5分; ③每一项评审内容不提供或完全背离评审标准得0分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包括但不限于①项目组织架构、②人员部署、③工期及进度计划安排、④技术组织措施等， 1.完整性:响应全面，对评审内容中的各项要求有详细描述:2.可实施性:内容科学，步骤清晰、合理，可实施性强:3.针对性:能够紧扣项目实际情况，满足具体要求。 赋分标准(12分): ①每一项评审内容完全满足评审标准得3分; ②每一项评审内容，若存在不明确、不合理、不完整、针对性不强等方面，扣0.5分; ③每一项评审内容不提供或完全背离评审标准得0分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包括但不限于①质量目标、②质量保证体系、③质量保障措施等。1.完整性:响应全面，对评审内容中的各项要求有详细描述:2.可实施性:内容科学，步骤清晰、合理，可实施性强:3.针对性:能够紧扣项目实际情况，满足具体要求。 赋分标准(9分): ①每一项评审内容完全满足评审标准得3分; ②每一项评审内容，若存在不明确、不合理、不完整、针对性不强等方面，扣0.5分; ③每一项评审内容不提供或完全背离评审标准得0分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包括但不限于①安装队伍人员配备、②安装调试工具、③安装施工组织计划等。1.完整性:响应全面，对评审内容中的各项要求有详细描述:2.可实施性:内容科学，步骤清晰、合理，可实施性强:3.针对性:能够紧扣项目实际情况，满足具体要求。 赋分标准(9分): ①每一项评审内容完全满足评审标准得3分; ②每一项评审内容，若存在不明确、不合理、不完整、针对性不强等方面，扣0.5分; ③每一项评审内容不提供或完全背离评审标准得0分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人员配置情况</w:t>
            </w:r>
          </w:p>
        </w:tc>
        <w:tc>
          <w:tcPr>
            <w:tcW w:type="dxa" w:w="2492"/>
          </w:tcPr>
          <w:p>
            <w:pPr>
              <w:pStyle w:val="null3"/>
            </w:pPr>
            <w:r>
              <w:rPr>
                <w:rFonts w:ascii="仿宋_GB2312" w:hAnsi="仿宋_GB2312" w:cs="仿宋_GB2312" w:eastAsia="仿宋_GB2312"/>
              </w:rPr>
              <w:t>具有计算机科学与技术专业或信息安全专业或通信工程等专业相关职称人员，每提供一个高级工程师证书得2分，提供一个中级工程师证书得1分。不提供不得分，最高得5分。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售后服务情况</w:t>
            </w:r>
          </w:p>
        </w:tc>
        <w:tc>
          <w:tcPr>
            <w:tcW w:type="dxa" w:w="2492"/>
          </w:tcPr>
          <w:p>
            <w:pPr>
              <w:pStyle w:val="null3"/>
            </w:pPr>
            <w:r>
              <w:rPr>
                <w:rFonts w:ascii="仿宋_GB2312" w:hAnsi="仿宋_GB2312" w:cs="仿宋_GB2312" w:eastAsia="仿宋_GB2312"/>
              </w:rPr>
              <w:t>包括但不限于①响应时间、②服务计划、③培训计划、④备品备件存储情况、⑤售后服务机构的规模、技术力量、人员构成、⑥应急预案等情况。 1.完整性:响应全面，对评审内容中的各项要求有详细描述:2.可实施性:内容科学，步骤清晰、合理，可实施性强:3.针对性:能够紧扣项目实际情况，满足具体要求。 赋分标准(12分): ①每一项评审内容完全满足评审标准得2分; ②每一项评审内容，若存在不明确、不合理、不完整、针对性不强等方面，扣0.5分; ③每一项评审内容不提供或完全背离评审标准得0分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提供近3年类似业绩证明材料，需提供业绩证明合同，每提供1个得1分，最高得2分，未提供不得分。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供应商的价格分统一按照下列公式计算： 投标报价得分=（评标基准价/投标报价）×价格权值×100 （因落实政府采购政策进行价格调整的，以调整后的价格计算评标基准价和投标报价）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15.00%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详见附件：符合本国产品标准的声明函.docx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