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版本号：ZCSP-潼关县-2026-0002520260415002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潼关县2025年林业草原有害生物防治项目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ZCSP-潼关县-2026-00025</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陕西三公泽利项目管理有限公司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陕西三公泽利项目管理有限公司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潼关县2025年林业草原有害生物防治项目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潼关县2025年林业草原有害生物防治项目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是开展天牛、华山松木蠹象等松类害虫无人机撒药防治工作，防治面积为15000亩，实施范围包含潼关县太要镇太峪村东沟、桐峪镇马家松林集中区域。通过规模化防治举措，可有效遏制虫害扩散，进而保障松林的生态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采购包1（潼关县2025年林业草原有害生物防治项目）：属于专门面向中小企业采购。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2、磋商保证金：供应商提供磋商保证金缴纳凭证</w:t>
      </w:r>
    </w:p>
    <w:p>
      <w:pPr>
        <w:pStyle w:val="null3"/>
      </w:pPr>
      <w:r>
        <w:rPr>
          <w:rFonts w:ascii="仿宋_GB2312" w:hAnsi="仿宋_GB2312" w:cs="仿宋_GB2312" w:eastAsia="仿宋_GB2312"/>
        </w:rPr>
        <w:t>3、信誉要求：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4、关联关系：单位负责人为同一人或者存在直接控股、管理关系的不同投标人，不得参加同一合同项下的政府采购活动（供应商需提供企业关系关联承诺书）</w:t>
      </w:r>
    </w:p>
    <w:p>
      <w:pPr>
        <w:pStyle w:val="null3"/>
      </w:pPr>
      <w:r>
        <w:rPr>
          <w:rFonts w:ascii="仿宋_GB2312" w:hAnsi="仿宋_GB2312" w:cs="仿宋_GB2312" w:eastAsia="仿宋_GB2312"/>
        </w:rPr>
        <w:t>5、非联合体投标：本项目不接受联合体投标（供应商需提供非联合体投标承诺书）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0913-3822165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陕西三公泽利项目管理有限公司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陕西省西安市新城区建华路511号白桦林明天北区21号楼二单元2601室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17382622486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开户名称：陕西三公泽利项目管理有限公司</w:t>
            </w:r>
          </w:p>
          <w:p>
            <w:pPr>
              <w:pStyle w:val="null3"/>
            </w:pPr>
            <w:r>
              <w:rPr>
                <w:rFonts w:ascii="仿宋_GB2312" w:hAnsi="仿宋_GB2312" w:cs="仿宋_GB2312" w:eastAsia="仿宋_GB2312"/>
              </w:rPr>
              <w:t>开户银行：中国农业银行股份有限公司西安莲湖区支行</w:t>
            </w:r>
          </w:p>
          <w:p>
            <w:pPr>
              <w:pStyle w:val="null3"/>
            </w:pPr>
            <w:r>
              <w:rPr>
                <w:rFonts w:ascii="仿宋_GB2312" w:hAnsi="仿宋_GB2312" w:cs="仿宋_GB2312" w:eastAsia="仿宋_GB2312"/>
              </w:rPr>
              <w:t>银行账号：26142601040022646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商在领取成交通知书前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陕西三公泽利项目管理有限公司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陕西三公泽利项目管理有限公司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陕西三公泽利项目管理有限公司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联系人：李磊</w:t>
      </w:r>
    </w:p>
    <w:p>
      <w:pPr>
        <w:pStyle w:val="null3"/>
      </w:pPr>
      <w:r>
        <w:rPr>
          <w:rFonts w:ascii="仿宋_GB2312" w:hAnsi="仿宋_GB2312" w:cs="仿宋_GB2312" w:eastAsia="仿宋_GB2312"/>
        </w:rPr>
        <w:t>联系电话：17382622486</w:t>
      </w:r>
    </w:p>
    <w:p>
      <w:pPr>
        <w:pStyle w:val="null3"/>
      </w:pPr>
      <w:r>
        <w:rPr>
          <w:rFonts w:ascii="仿宋_GB2312" w:hAnsi="仿宋_GB2312" w:cs="仿宋_GB2312" w:eastAsia="仿宋_GB2312"/>
        </w:rPr>
        <w:t>地址：陕西省西安市新城区建华路511号白桦林明 天北区21号楼二单元2601室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建设内容是开展天牛、华山松木蠹象等松类害虫无人机撒药防治工作，防治面积为15000亩，实施范围包含潼关县太要镇太峪村东沟、桐峪镇马家松林集中区域。通过规模化防治举措，可有效遏制虫害扩散，进而保障松林的生态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潼关县2025年林业草原有害生物防治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标的名称：潼关县2025年林业草原有害生物防治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pPr>
            <w:r>
              <w:rPr>
                <w:rFonts w:ascii="仿宋_GB2312" w:hAnsi="仿宋_GB2312" w:cs="仿宋_GB2312" w:eastAsia="仿宋_GB2312"/>
              </w:rPr>
              <w:t xml:space="preserve"> </w:t>
            </w:r>
          </w:p>
          <w:p>
            <w:pPr>
              <w:pStyle w:val="null3"/>
            </w:pPr>
            <w:r>
              <w:rPr>
                <w:rFonts w:ascii="仿宋_GB2312" w:hAnsi="仿宋_GB2312" w:cs="仿宋_GB2312" w:eastAsia="仿宋_GB2312"/>
                <w:b/>
              </w:rPr>
              <w:t>一、项目名称</w:t>
            </w:r>
          </w:p>
          <w:p>
            <w:pPr>
              <w:pStyle w:val="null3"/>
            </w:pPr>
            <w:r>
              <w:rPr>
                <w:rFonts w:ascii="仿宋_GB2312" w:hAnsi="仿宋_GB2312" w:cs="仿宋_GB2312" w:eastAsia="仿宋_GB2312"/>
              </w:rPr>
              <w:t>潼关县2025年林业草原有害生物防治项目</w:t>
            </w:r>
          </w:p>
          <w:p>
            <w:pPr>
              <w:pStyle w:val="null3"/>
            </w:pPr>
            <w:r>
              <w:rPr>
                <w:rFonts w:ascii="仿宋_GB2312" w:hAnsi="仿宋_GB2312" w:cs="仿宋_GB2312" w:eastAsia="仿宋_GB2312"/>
                <w:b/>
              </w:rPr>
              <w:t>二、项目建设地点</w:t>
            </w:r>
          </w:p>
          <w:p>
            <w:pPr>
              <w:pStyle w:val="null3"/>
            </w:pPr>
            <w:r>
              <w:rPr>
                <w:rFonts w:ascii="仿宋_GB2312" w:hAnsi="仿宋_GB2312" w:cs="仿宋_GB2312" w:eastAsia="仿宋_GB2312"/>
              </w:rPr>
              <w:t>潼关县太要镇太峪村东沟、桐峪镇马家松林集中区域</w:t>
            </w:r>
          </w:p>
          <w:p>
            <w:pPr>
              <w:pStyle w:val="null3"/>
            </w:pPr>
            <w:r>
              <w:rPr>
                <w:rFonts w:ascii="仿宋_GB2312" w:hAnsi="仿宋_GB2312" w:cs="仿宋_GB2312" w:eastAsia="仿宋_GB2312"/>
                <w:b/>
              </w:rPr>
              <w:t>三、采购内容及规模</w:t>
            </w:r>
          </w:p>
          <w:p>
            <w:pPr>
              <w:pStyle w:val="null3"/>
            </w:pPr>
            <w:r>
              <w:rPr>
                <w:rFonts w:ascii="仿宋_GB2312" w:hAnsi="仿宋_GB2312" w:cs="仿宋_GB2312" w:eastAsia="仿宋_GB2312"/>
              </w:rPr>
              <w:t>本项目主要建设内容是开展天牛、华山松木蠹象等松类害虫无人机撒药防治工作，防治面积为15000亩，实施范围包含潼关县太要镇太峪村东沟、桐峪镇马家松林集中区域。通过规模化防治举措，可有效遏制虫害扩散，进而保障松林的生态安全。</w:t>
            </w:r>
          </w:p>
          <w:p>
            <w:pPr>
              <w:pStyle w:val="null3"/>
            </w:pPr>
            <w:r>
              <w:rPr>
                <w:rFonts w:ascii="仿宋_GB2312" w:hAnsi="仿宋_GB2312" w:cs="仿宋_GB2312" w:eastAsia="仿宋_GB2312"/>
                <w:b/>
              </w:rPr>
              <w:t>四、服务内容</w:t>
            </w:r>
          </w:p>
          <w:p>
            <w:pPr>
              <w:pStyle w:val="null3"/>
            </w:pPr>
            <w:r>
              <w:rPr>
                <w:rFonts w:ascii="仿宋_GB2312" w:hAnsi="仿宋_GB2312" w:cs="仿宋_GB2312" w:eastAsia="仿宋_GB2312"/>
              </w:rPr>
              <w:t>实施天牛、华山松木蠹象等松类害虫无人机撒药防治工作。</w:t>
            </w:r>
          </w:p>
          <w:p>
            <w:pPr>
              <w:pStyle w:val="null3"/>
            </w:pPr>
            <w:r>
              <w:rPr>
                <w:rFonts w:ascii="仿宋_GB2312" w:hAnsi="仿宋_GB2312" w:cs="仿宋_GB2312" w:eastAsia="仿宋_GB2312"/>
              </w:rPr>
              <w:t>1.防治范围：覆盖潼关县太要镇太峪村东沟以及桐峪镇马家区域，总面积达15000亩，其中太要镇太峪村东沟为12000亩，桐峪镇马家为3000亩。该区域是根据调查结果确定的蛀干害虫危害重点区域。</w:t>
            </w:r>
          </w:p>
          <w:p>
            <w:pPr>
              <w:pStyle w:val="null3"/>
            </w:pPr>
            <w:r>
              <w:rPr>
                <w:rFonts w:ascii="仿宋_GB2312" w:hAnsi="仿宋_GB2312" w:cs="仿宋_GB2312" w:eastAsia="仿宋_GB2312"/>
              </w:rPr>
              <w:t>2.防治对象：主要针对天牛、华山松木蠹象等蛀干害虫。</w:t>
            </w:r>
          </w:p>
          <w:p>
            <w:pPr>
              <w:pStyle w:val="null3"/>
            </w:pPr>
            <w:r>
              <w:rPr>
                <w:rFonts w:ascii="仿宋_GB2312" w:hAnsi="仿宋_GB2312" w:cs="仿宋_GB2312" w:eastAsia="仿宋_GB2312"/>
              </w:rPr>
              <w:t>3.防治目标：大幅降低目标害虫的种群数量，有效抑制蛀干害虫的扩散蔓延态势，使防治区域的虫口减退率达成预定指标，推动松林恢复健康生长状态。</w:t>
            </w:r>
          </w:p>
          <w:p>
            <w:pPr>
              <w:pStyle w:val="null3"/>
            </w:pPr>
            <w:r>
              <w:rPr>
                <w:rFonts w:ascii="仿宋_GB2312" w:hAnsi="仿宋_GB2312" w:cs="仿宋_GB2312" w:eastAsia="仿宋_GB2312"/>
              </w:rPr>
              <w:t>4.防治药品：</w:t>
            </w:r>
          </w:p>
          <w:p>
            <w:pPr>
              <w:pStyle w:val="null3"/>
            </w:pPr>
            <w:r>
              <w:rPr>
                <w:rFonts w:ascii="仿宋_GB2312" w:hAnsi="仿宋_GB2312" w:cs="仿宋_GB2312" w:eastAsia="仿宋_GB2312"/>
              </w:rPr>
              <w:t>①药品选择</w:t>
            </w:r>
          </w:p>
          <w:p>
            <w:pPr>
              <w:pStyle w:val="null3"/>
            </w:pPr>
            <w:r>
              <w:rPr>
                <w:rFonts w:ascii="仿宋_GB2312" w:hAnsi="仿宋_GB2312" w:cs="仿宋_GB2312" w:eastAsia="仿宋_GB2312"/>
              </w:rPr>
              <w:t>药品应选择已经登记或经权威机构认可且产品质量符合相关标准的生物制剂，选择适合防治对象且对林木、作物、天敌及其它生物和生态环境安全的药剂品种。本次飞防松褐天牛的防治采用生物制剂：3%噻虫啉微囊悬浮剂+22%噻虫嗪·高效氯氟氰菊酯悬浮剂和青皮桔油。</w:t>
            </w:r>
          </w:p>
          <w:p>
            <w:pPr>
              <w:pStyle w:val="null3"/>
            </w:pPr>
            <w:r>
              <w:rPr>
                <w:rFonts w:ascii="仿宋_GB2312" w:hAnsi="仿宋_GB2312" w:cs="仿宋_GB2312" w:eastAsia="仿宋_GB2312"/>
              </w:rPr>
              <w:t>②药品调配</w:t>
            </w:r>
          </w:p>
          <w:p>
            <w:pPr>
              <w:pStyle w:val="null3"/>
            </w:pPr>
            <w:r>
              <w:rPr>
                <w:rFonts w:ascii="仿宋_GB2312" w:hAnsi="仿宋_GB2312" w:cs="仿宋_GB2312" w:eastAsia="仿宋_GB2312"/>
              </w:rPr>
              <w:t>药品调配工作由施工单位承担，操作过程应符合农药安全使用规范（NY/T1276）、农药储运、销售和使用的防毒规程（GB12475），施工单位对配备装药过程的安全性负责。</w:t>
            </w:r>
          </w:p>
          <w:p>
            <w:pPr>
              <w:pStyle w:val="null3"/>
            </w:pPr>
            <w:r>
              <w:rPr>
                <w:rFonts w:ascii="仿宋_GB2312" w:hAnsi="仿宋_GB2312" w:cs="仿宋_GB2312" w:eastAsia="仿宋_GB2312"/>
              </w:rPr>
              <w:t>③药量设计</w:t>
            </w:r>
          </w:p>
          <w:p>
            <w:pPr>
              <w:pStyle w:val="null3"/>
            </w:pPr>
            <w:r>
              <w:rPr>
                <w:rFonts w:ascii="仿宋_GB2312" w:hAnsi="仿宋_GB2312" w:cs="仿宋_GB2312" w:eastAsia="仿宋_GB2312"/>
              </w:rPr>
              <w:t>3%噻虫啉微囊悬浮剂75毫升/亩+22%噻虫嗪·高效氯氟氰菊酯悬浮剂25毫升/亩，青皮桔油10毫升/亩。每亩喷洒2升混合药液。</w:t>
            </w:r>
          </w:p>
          <w:p>
            <w:pPr>
              <w:pStyle w:val="null3"/>
            </w:pPr>
            <w:r>
              <w:rPr>
                <w:rFonts w:ascii="仿宋_GB2312" w:hAnsi="仿宋_GB2312" w:cs="仿宋_GB2312" w:eastAsia="仿宋_GB2312"/>
              </w:rPr>
              <w:t>本药量设计通过“双新烟碱类+菊酯类+植物源助剂”的科学配比，兼顾速效、持效与渗透性，适配无人机飞防松林场景，可有效压低天牛、木蠹象成虫种群密度，减少蛀干危害。</w:t>
            </w:r>
          </w:p>
          <w:p>
            <w:pPr>
              <w:pStyle w:val="null3"/>
            </w:pPr>
            <w:r>
              <w:rPr>
                <w:rFonts w:ascii="仿宋_GB2312" w:hAnsi="仿宋_GB2312" w:cs="仿宋_GB2312" w:eastAsia="仿宋_GB2312"/>
              </w:rPr>
              <w:t>5.技术措施：</w:t>
            </w:r>
          </w:p>
          <w:p>
            <w:pPr>
              <w:pStyle w:val="null3"/>
            </w:pPr>
            <w:r>
              <w:rPr>
                <w:rFonts w:ascii="仿宋_GB2312" w:hAnsi="仿宋_GB2312" w:cs="仿宋_GB2312" w:eastAsia="仿宋_GB2312"/>
              </w:rPr>
              <w:t>①测绘</w:t>
            </w:r>
          </w:p>
          <w:p>
            <w:pPr>
              <w:pStyle w:val="null3"/>
            </w:pPr>
            <w:r>
              <w:rPr>
                <w:rFonts w:ascii="仿宋_GB2312" w:hAnsi="仿宋_GB2312" w:cs="仿宋_GB2312" w:eastAsia="仿宋_GB2312"/>
              </w:rPr>
              <w:t>利用无人机进行高精度航拍作业区域，采集汇总避让区域。使用RTK定位系统对飞防区域内的养殖区、养蜂区、高大建筑物等一切可能产生次生灾害的区域进行准确定位和标注，减少作业存在的安全风险。</w:t>
            </w:r>
          </w:p>
          <w:p>
            <w:pPr>
              <w:pStyle w:val="null3"/>
            </w:pPr>
            <w:r>
              <w:rPr>
                <w:rFonts w:ascii="仿宋_GB2312" w:hAnsi="仿宋_GB2312" w:cs="仿宋_GB2312" w:eastAsia="仿宋_GB2312"/>
              </w:rPr>
              <w:t>②选择起降平台</w:t>
            </w:r>
          </w:p>
          <w:p>
            <w:pPr>
              <w:pStyle w:val="null3"/>
            </w:pPr>
            <w:r>
              <w:rPr>
                <w:rFonts w:ascii="仿宋_GB2312" w:hAnsi="仿宋_GB2312" w:cs="仿宋_GB2312" w:eastAsia="仿宋_GB2312"/>
              </w:rPr>
              <w:t>经过现地考察后选择宽阔且平坦的地势进行起降点选择，在确定起降点后设立警戒线及标牌标识，提醒周边居民或闲散人员避免发生因人员进入作业区而造成的安全事故。</w:t>
            </w:r>
          </w:p>
          <w:p>
            <w:pPr>
              <w:pStyle w:val="null3"/>
            </w:pPr>
            <w:r>
              <w:rPr>
                <w:rFonts w:ascii="仿宋_GB2312" w:hAnsi="仿宋_GB2312" w:cs="仿宋_GB2312" w:eastAsia="仿宋_GB2312"/>
              </w:rPr>
              <w:t>③作业前航线设计</w:t>
            </w:r>
          </w:p>
          <w:p>
            <w:pPr>
              <w:pStyle w:val="null3"/>
            </w:pPr>
            <w:r>
              <w:rPr>
                <w:rFonts w:ascii="仿宋_GB2312" w:hAnsi="仿宋_GB2312" w:cs="仿宋_GB2312" w:eastAsia="仿宋_GB2312"/>
              </w:rPr>
              <w:t>在作业前进行作业区域框选，选择即将作业的区域，按照面积进行作业航线规划，本次项目所使用的无人机具备自主航线规划功能，系统将自行规划即将作业航线，在本次航线未完成时如无人机药品消耗完成或电池续航不够时，无人机将自动返回起降点，在重新更换电池及药桶后飞机将延续未作业完成航线继续作业。</w:t>
            </w:r>
          </w:p>
          <w:p>
            <w:pPr>
              <w:pStyle w:val="null3"/>
            </w:pPr>
            <w:r>
              <w:rPr>
                <w:rFonts w:ascii="仿宋_GB2312" w:hAnsi="仿宋_GB2312" w:cs="仿宋_GB2312" w:eastAsia="仿宋_GB2312"/>
              </w:rPr>
              <w:t>④安放雾滴试纸</w:t>
            </w:r>
          </w:p>
          <w:p>
            <w:pPr>
              <w:pStyle w:val="null3"/>
            </w:pPr>
            <w:r>
              <w:rPr>
                <w:rFonts w:ascii="仿宋_GB2312" w:hAnsi="仿宋_GB2312" w:cs="仿宋_GB2312" w:eastAsia="仿宋_GB2312"/>
              </w:rPr>
              <w:t>在作业区设置标准地，标准地内选择3株作为标准株，在每株标准株中下部设置水敏试纸若干，喷药结束后取回检查雾滴数量，每平方厘米不低于30个雾滴。</w:t>
            </w:r>
          </w:p>
          <w:p>
            <w:pPr>
              <w:pStyle w:val="null3"/>
            </w:pPr>
            <w:r>
              <w:rPr>
                <w:rFonts w:ascii="仿宋_GB2312" w:hAnsi="仿宋_GB2312" w:cs="仿宋_GB2312" w:eastAsia="仿宋_GB2312"/>
              </w:rPr>
              <w:t>⑤开始作业</w:t>
            </w:r>
          </w:p>
          <w:p>
            <w:pPr>
              <w:pStyle w:val="null3"/>
            </w:pPr>
            <w:r>
              <w:rPr>
                <w:rFonts w:ascii="仿宋_GB2312" w:hAnsi="仿宋_GB2312" w:cs="仿宋_GB2312" w:eastAsia="仿宋_GB2312"/>
              </w:rPr>
              <w:t>在完成上述准备工作后，将配备好的药箱放入飞机后，飞机将进行自主作业，过程无需人员手动控制，飞机将按照测绘好的航线航路进行仿地飞行，飞机作业时，飞行高度一般要求保持在离树梢5-10米；复杂地形或城区周围飞行作业高度可适当提高，离树梢10-15米，但必须保证作业质量。喷雾的有效幅宽为10米，飞行速度6米/秒。在风速大于10米/秒、能见度小于1500米，大气温度超过35℃或下雨天时，停止飞行作业。</w:t>
            </w:r>
          </w:p>
          <w:p>
            <w:pPr>
              <w:pStyle w:val="null3"/>
            </w:pPr>
            <w:r>
              <w:rPr>
                <w:rFonts w:ascii="仿宋_GB2312" w:hAnsi="仿宋_GB2312" w:cs="仿宋_GB2312" w:eastAsia="仿宋_GB2312"/>
              </w:rPr>
              <w:t>搞好地空配合，及时传递飞防区域喷药质量信息，以便飞机空中修正因风力、其它因素造成的飞行偏差，确保飞防作业质量。在飞机作业过程中地面人员进行地面检查，在发现不符合标准时进行及时纠正，适当调整飞机雾滴大小及飞行速度，达到满意效果。</w:t>
            </w:r>
          </w:p>
          <w:p>
            <w:pPr>
              <w:pStyle w:val="null3"/>
            </w:pPr>
            <w:r>
              <w:rPr>
                <w:rFonts w:ascii="仿宋_GB2312" w:hAnsi="仿宋_GB2312" w:cs="仿宋_GB2312" w:eastAsia="仿宋_GB2312"/>
              </w:rPr>
              <w:t>⑥导航方法设计</w:t>
            </w:r>
          </w:p>
          <w:p>
            <w:pPr>
              <w:pStyle w:val="null3"/>
            </w:pPr>
            <w:r>
              <w:rPr>
                <w:rFonts w:ascii="仿宋_GB2312" w:hAnsi="仿宋_GB2312" w:cs="仿宋_GB2312" w:eastAsia="仿宋_GB2312"/>
              </w:rPr>
              <w:t>无人机防治采用GPS导航。GPS导航数据由无人机操作员按照设计提前输入、调试、核对和应用，一旦发现问题，及时纠正，避免造成误飞或遗漏。</w:t>
            </w:r>
          </w:p>
          <w:p>
            <w:pPr>
              <w:pStyle w:val="null3"/>
            </w:pPr>
            <w:r>
              <w:rPr>
                <w:rFonts w:ascii="仿宋_GB2312" w:hAnsi="仿宋_GB2312" w:cs="仿宋_GB2312" w:eastAsia="仿宋_GB2312"/>
              </w:rPr>
              <w:t>⑦无人机作业技术要求</w:t>
            </w:r>
          </w:p>
          <w:p>
            <w:pPr>
              <w:pStyle w:val="null3"/>
            </w:pPr>
            <w:r>
              <w:rPr>
                <w:rFonts w:ascii="仿宋_GB2312" w:hAnsi="仿宋_GB2312" w:cs="仿宋_GB2312" w:eastAsia="仿宋_GB2312"/>
              </w:rPr>
              <w:t>为保证无人机作业质量和飞行安全，无人机操作员会做到以下几点：</w:t>
            </w:r>
          </w:p>
          <w:p>
            <w:pPr>
              <w:pStyle w:val="null3"/>
            </w:pPr>
            <w:r>
              <w:rPr>
                <w:rFonts w:ascii="仿宋_GB2312" w:hAnsi="仿宋_GB2312" w:cs="仿宋_GB2312" w:eastAsia="仿宋_GB2312"/>
              </w:rPr>
              <w:t>防治作业前，无人机操作员了解飞防区域周围地形、地物情况，并制定出各作业小班合理的飞行作业方案；</w:t>
            </w:r>
          </w:p>
          <w:p>
            <w:pPr>
              <w:pStyle w:val="null3"/>
            </w:pPr>
            <w:r>
              <w:rPr>
                <w:rFonts w:ascii="仿宋_GB2312" w:hAnsi="仿宋_GB2312" w:cs="仿宋_GB2312" w:eastAsia="仿宋_GB2312"/>
              </w:rPr>
              <w:t>无人机开展作业时，按照飞防设计图划定的区域准确飞行，严格按照GPS导航设计数据和飞行作业方位角适时开关喷雾开口，防止漏喷和重喷；</w:t>
            </w:r>
          </w:p>
          <w:p>
            <w:pPr>
              <w:pStyle w:val="null3"/>
            </w:pPr>
            <w:r>
              <w:rPr>
                <w:rFonts w:ascii="仿宋_GB2312" w:hAnsi="仿宋_GB2312" w:cs="仿宋_GB2312" w:eastAsia="仿宋_GB2312"/>
              </w:rPr>
              <w:t>在风速大于10米/秒、能见度小于1500米、大气温度超过35℃或下雨天时，停止飞行作业。</w:t>
            </w:r>
          </w:p>
          <w:p>
            <w:pPr>
              <w:pStyle w:val="null3"/>
            </w:pPr>
            <w:r>
              <w:rPr>
                <w:rFonts w:ascii="仿宋_GB2312" w:hAnsi="仿宋_GB2312" w:cs="仿宋_GB2312" w:eastAsia="仿宋_GB2312"/>
              </w:rPr>
              <w:t>⑧废弃药瓶回收</w:t>
            </w:r>
          </w:p>
          <w:p>
            <w:pPr>
              <w:pStyle w:val="null3"/>
            </w:pPr>
            <w:r>
              <w:rPr>
                <w:rFonts w:ascii="仿宋_GB2312" w:hAnsi="仿宋_GB2312" w:cs="仿宋_GB2312" w:eastAsia="仿宋_GB2312"/>
              </w:rPr>
              <w:t>在作业后进行废弃农药瓶回收，将使用过的农药瓶统一收纳装箱带离作业区后，选择专业的回收销毁机构进行统一销毁，避免因药瓶乱丢造成人员中毒及环境污染问题。</w:t>
            </w:r>
          </w:p>
          <w:p>
            <w:pPr>
              <w:pStyle w:val="null3"/>
            </w:pPr>
            <w:r>
              <w:rPr>
                <w:rFonts w:ascii="仿宋_GB2312" w:hAnsi="仿宋_GB2312" w:cs="仿宋_GB2312" w:eastAsia="仿宋_GB2312"/>
              </w:rPr>
              <w:t>⑨飞防质量评估</w:t>
            </w:r>
          </w:p>
          <w:p>
            <w:pPr>
              <w:pStyle w:val="null3"/>
            </w:pPr>
            <w:r>
              <w:rPr>
                <w:rFonts w:ascii="仿宋_GB2312" w:hAnsi="仿宋_GB2312" w:cs="仿宋_GB2312" w:eastAsia="仿宋_GB2312"/>
              </w:rPr>
              <w:t>为确保飞防成效，务必认真做好飞防质量评估和跟踪调查，为资金结算兑付提供依据。</w:t>
            </w:r>
          </w:p>
          <w:p>
            <w:pPr>
              <w:pStyle w:val="null3"/>
            </w:pPr>
            <w:r>
              <w:rPr>
                <w:rFonts w:ascii="仿宋_GB2312" w:hAnsi="仿宋_GB2312" w:cs="仿宋_GB2312" w:eastAsia="仿宋_GB2312"/>
              </w:rPr>
              <w:t>药品必须为国家正式批准生产的产品，附有生产合格证、药品有效期限证明及农药三证。</w:t>
            </w:r>
          </w:p>
          <w:p>
            <w:pPr>
              <w:pStyle w:val="null3"/>
            </w:pPr>
            <w:r>
              <w:rPr>
                <w:rFonts w:ascii="仿宋_GB2312" w:hAnsi="仿宋_GB2312" w:cs="仿宋_GB2312" w:eastAsia="仿宋_GB2312"/>
              </w:rPr>
              <w:t>喷药效果：飞防作业喷药过程中，由质量跟踪组进行实地接药，在喷播带与航向垂直方向每隔5米的林间空地上，按顺序放一片载玻片或深红色打印纸作为采样片，每一喷洒带飞行作业结束30分钟后收集采样片，飞机喷洒药物的雾滴密度必须达到每平方厘米30滴以上。载玻片或荧光纸片每平方厘米低于30滴，即视为本小班作业不达标。</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潼关县太要镇太峪村、桐峪镇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农、林、牧、渔业（营业收入20000万元以下的为中小微型企业。其中，营业收入500万元及以上的为中型企业，营业收入50万元及以上的为小型企业，营业收入50万元以下的为微型企业）。2、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具有独立承担民事责任的能力，提供营业执照、税务登记证、组织机构代码证或登载有统一 社会信用代码的营业执照（或《事业单位法人证书》或其他合法组织登记证书、自然人只须 提交身份证复印件）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提供具有财务审计资质单位出具的2024年或2025年度财务审计报告（成立时间至开标时间不 足一年的可提供成立后任意时段的资产负债表、现金流量表、利润表）或开标前六个月内其 基本账户银行出具的资信证明（附开户许可证或基本账户证明）。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提供截止至开标时间前六个月内任意一个月的缴费凭据（依法免税的投标人应提供相关文件 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单位负责人为同一人或者存在直接控股、管理关系的不同投标人，不得参加同一合同项下的政府采购活动（供应商需提供企业关系关联承诺书）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本项目不接受联合体投标（供应商需提供非联合体投标承诺书）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 2、未超出采购预算或磋商文件规定的最高限价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业绩.docx 法定代表人身份证明书与法定代表人授权书.docx 中小企业声明函 承诺书.docx 供应商应提交的相关资格证明材料 企业实力.docx 商务应答表.docx 服务条款响应偏离表.docx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评审得分相同的，按照最后报价由低到高的顺序推荐。评审得分且最后报价相同的，按照技术指标优劣顺序推荐。评审得分且最后报价且技术指标得分均相同的，由磋商小组无记名投票决定。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一、针对本项目提供的需求制定合理的方案，包括但不限于以下内容①项目认知分析；②防治目标及防治区域现状分析；③监测方案；④防治成效方案。并按照以下标准评审：二、评审标准 1、完整性：方案必须全面，对评审内容中的各项要求有详细描述；2、可实施性：切合本项目实际情况，提出步骤清晰、合理的方案；3、针对性：方案能够紧扣项目实际情况，内容科学合理。三、赋分标准（满分24分）①项目认知分析：每满足一个评审标准得2分，不满足得0分，满分6分； ②防治目标及防治区域现状分析：每满足一个评审标准得2分，不满足得0分，满分6分；③监测普查方案：每满足一个评审标准得2分，不满足得0分，满分6分；④防治成效方案：每满足一个评审标准得2分，不满足得0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一、针对本项目提供的需求制定合理的方案，包括但不限于以下内容①质量保障措施；②进度保障措施；③安全保障措施。二、评审标准 1、完整性：方案必须全面，对评审内容中的各项要求有详细描述；2、可实施性：切合本项目实际情况，提出清晰、合理的方案；3、针对性：方案能够紧扣项目实际情况，内容科学合理。三、赋分标准（满分18分）①质量保障措施：每满足一个评审标准得2分，不满足得0分，满分6分；②进度保障措施：每满足一个评审标准得2分，不满足得0分，满分6分；③安全保障措施：每满足一个评审标准得2分，不满足得0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一、针对本项目提供的需求制定合理的方案，包括但不限于以下内容①对本项目的重点、难点进行分析；②对本项目重点、难点的应对措施。二、评审标准 1、完整性：方案必须全面，对评审内容中的各项要求有详细描述；2、合理性：切合本项目实际情况，条理清楚；3、针对性：方案能够紧扣项目实际情况，内容科学合理。三、赋分标准（满分12分）①对本项目的重点、难点进行分析：每满足一个评审标准得2分，不满足得0分，满分6分；②对本项目重点、难点的应对措施：每满足一个评审标准得2分，不满足得0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一、应急处置方案包括但不限于以下内容①应急组织机构②应急响应流程③作业过程中突发状况的应急处理方案④应急保障措施。二、评审标准 1、完整性：方案必须全面，对评审内容中的各项要求有详细描述；2、可实施性：切合本项目实际情况，提出清晰、合理的方案；3、针对性：方案能够紧扣项目实际情况，内容科学合理。三、赋分标准（满分12分）①应急组织机构：每满足一个评审标准得1分，不满足得0分，满分3分； ②应急响应流程：每满足一个评审标准得1分，不满足得0分，满分3分；③作业过程中突发状况的应急处理方案：每满足一个评审标准得1分，不满足得0分，满分3分；④应急保障措施：每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设施设备配置</w:t>
            </w:r>
          </w:p>
        </w:tc>
        <w:tc>
          <w:tcPr>
            <w:tcW w:type="dxa" w:w="2492"/>
          </w:tcPr>
          <w:p>
            <w:pPr>
              <w:pStyle w:val="null3"/>
            </w:pPr>
            <w:r>
              <w:rPr>
                <w:rFonts w:ascii="仿宋_GB2312" w:hAnsi="仿宋_GB2312" w:cs="仿宋_GB2312" w:eastAsia="仿宋_GB2312"/>
              </w:rPr>
              <w:t>提供针对项目设施设备的配置情况，包含名称、使用状况、性能、先进性、合理性且有利于项目实施，计4分。 备注：内容缺失此项不得分，每有一处存在内容缺陷扣0.5分，扣完为止。内容缺陷是指：非专门针对本项目或不适用项目特性的情形、内容不完整或缺少关键节点、套用其他项目内容、内容前后矛盾、常识性错误、规范及标准性错误、科学原理错误、凭空编造、逻辑漏洞、不利于项目实施、不可能实现的夸大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拟投入专业人员，12人及以上得5分，8（含）-12人得3分，5（含）-8人得1分，5人以下或未提供不得分。2、项目拟投入人员包含2名相关领域专业技术人员，均具有高级职称得5分，中级（或1高级+1中级）职称得3分，未提供不得分（需提供职称证书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供应商具有2023年1月1日至今（以合同签订时间为准）同类项目业绩，响应文件中提供合同复印件加盖公章，每提供一个得2分，最高得6分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1.供应商具有林业有害生物防治作业甲级资质证书，得 4分；2、供应商具有林业有害生物防治作业乙级资质证书，得 3分；3.供应商具有林业有害生物防治作业丙级资质证书，得 2分；4.供应商具有林业有害生物防治作业丁级资质证书，得 1分；无资质不得分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