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7CD56E">
      <w:pPr>
        <w:autoSpaceDE w:val="0"/>
        <w:autoSpaceDN w:val="0"/>
        <w:adjustRightInd w:val="0"/>
        <w:snapToGrid w:val="0"/>
        <w:spacing w:line="560" w:lineRule="exact"/>
        <w:jc w:val="center"/>
        <w:rPr>
          <w:rFonts w:ascii="方正小标宋简体" w:hAnsi="方正小标宋简体" w:eastAsia="方正小标宋简体" w:cs="方正小标宋简体"/>
          <w:color w:val="auto"/>
          <w:spacing w:val="-5"/>
          <w:sz w:val="44"/>
          <w:szCs w:val="44"/>
          <w:highlight w:val="none"/>
        </w:rPr>
      </w:pPr>
      <w:bookmarkStart w:id="0" w:name="_Hlk107229277"/>
      <w:r>
        <w:rPr>
          <w:rFonts w:hint="eastAsia" w:ascii="方正小标宋简体" w:hAnsi="方正小标宋简体" w:eastAsia="方正小标宋简体" w:cs="方正小标宋简体"/>
          <w:color w:val="auto"/>
          <w:spacing w:val="-5"/>
          <w:sz w:val="44"/>
          <w:szCs w:val="44"/>
          <w:highlight w:val="none"/>
        </w:rPr>
        <w:t>拟签订的合同条款文本</w:t>
      </w:r>
      <w:bookmarkStart w:id="2" w:name="_GoBack"/>
      <w:bookmarkEnd w:id="2"/>
    </w:p>
    <w:bookmarkEnd w:id="0"/>
    <w:p w14:paraId="520EA121">
      <w:pPr>
        <w:tabs>
          <w:tab w:val="left" w:pos="9030"/>
        </w:tabs>
        <w:snapToGrid w:val="0"/>
        <w:spacing w:line="360" w:lineRule="auto"/>
        <w:ind w:right="-62"/>
        <w:jc w:val="center"/>
        <w:outlineLvl w:val="0"/>
        <w:rPr>
          <w:color w:val="auto"/>
          <w:szCs w:val="21"/>
          <w:highlight w:val="none"/>
          <w:lang w:val="zh-CN"/>
        </w:rPr>
      </w:pPr>
      <w:r>
        <w:rPr>
          <w:rFonts w:hint="eastAsia"/>
          <w:color w:val="auto"/>
          <w:szCs w:val="21"/>
          <w:highlight w:val="none"/>
          <w:lang w:val="zh-CN"/>
        </w:rPr>
        <w:t>（</w:t>
      </w:r>
      <w:r>
        <w:rPr>
          <w:rFonts w:hint="eastAsia"/>
          <w:color w:val="auto"/>
          <w:szCs w:val="21"/>
          <w:highlight w:val="none"/>
          <w:lang w:val="en-US" w:eastAsia="zh-CN"/>
        </w:rPr>
        <w:t>本合同为参考合同，</w:t>
      </w:r>
      <w:r>
        <w:rPr>
          <w:rFonts w:hint="eastAsia"/>
          <w:color w:val="auto"/>
          <w:szCs w:val="21"/>
          <w:highlight w:val="none"/>
        </w:rPr>
        <w:t>具体以甲方签订合同为准</w:t>
      </w:r>
      <w:r>
        <w:rPr>
          <w:rFonts w:hint="eastAsia"/>
          <w:color w:val="auto"/>
          <w:szCs w:val="21"/>
          <w:highlight w:val="none"/>
          <w:lang w:val="zh-CN"/>
        </w:rPr>
        <w:t>）</w:t>
      </w:r>
    </w:p>
    <w:p w14:paraId="485E4659">
      <w:pPr>
        <w:pStyle w:val="6"/>
        <w:adjustRightInd w:val="0"/>
        <w:snapToGrid w:val="0"/>
        <w:spacing w:line="360" w:lineRule="auto"/>
        <w:ind w:firstLine="422"/>
        <w:jc w:val="left"/>
        <w:rPr>
          <w:rFonts w:ascii="宋体" w:hAnsi="宋体"/>
          <w:b/>
          <w:bCs/>
          <w:color w:val="auto"/>
          <w:szCs w:val="24"/>
          <w:highlight w:val="none"/>
        </w:rPr>
      </w:pPr>
    </w:p>
    <w:p w14:paraId="0700723B">
      <w:pPr>
        <w:pStyle w:val="6"/>
        <w:adjustRightInd w:val="0"/>
        <w:snapToGrid w:val="0"/>
        <w:spacing w:line="360" w:lineRule="auto"/>
        <w:ind w:firstLine="422"/>
        <w:jc w:val="left"/>
        <w:rPr>
          <w:rFonts w:ascii="宋体" w:hAnsi="宋体"/>
          <w:b/>
          <w:bCs/>
          <w:color w:val="auto"/>
          <w:szCs w:val="24"/>
          <w:highlight w:val="none"/>
          <w:u w:val="single"/>
        </w:rPr>
      </w:pPr>
      <w:r>
        <w:rPr>
          <w:rFonts w:hint="eastAsia" w:ascii="宋体" w:hAnsi="宋体"/>
          <w:b/>
          <w:bCs/>
          <w:color w:val="auto"/>
          <w:szCs w:val="24"/>
          <w:highlight w:val="none"/>
        </w:rPr>
        <w:t>甲方（采  购  人）：</w:t>
      </w:r>
      <w:r>
        <w:rPr>
          <w:rFonts w:hint="eastAsia" w:ascii="宋体" w:hAnsi="宋体"/>
          <w:b/>
          <w:bCs/>
          <w:color w:val="auto"/>
          <w:szCs w:val="24"/>
          <w:highlight w:val="none"/>
          <w:u w:val="single"/>
        </w:rPr>
        <w:t xml:space="preserve"> </w:t>
      </w:r>
      <w:r>
        <w:rPr>
          <w:rFonts w:hint="eastAsia" w:ascii="宋体" w:hAnsi="宋体"/>
          <w:b/>
          <w:bCs/>
          <w:color w:val="auto"/>
          <w:szCs w:val="24"/>
          <w:highlight w:val="none"/>
          <w:u w:val="single"/>
          <w:lang w:eastAsia="zh-CN"/>
        </w:rPr>
        <w:t>潼关县林业局</w:t>
      </w:r>
      <w:r>
        <w:rPr>
          <w:rFonts w:hint="eastAsia" w:ascii="宋体" w:hAnsi="宋体"/>
          <w:b/>
          <w:bCs/>
          <w:color w:val="auto"/>
          <w:szCs w:val="24"/>
          <w:highlight w:val="none"/>
          <w:u w:val="single"/>
        </w:rPr>
        <w:t xml:space="preserve"> </w:t>
      </w:r>
    </w:p>
    <w:p w14:paraId="70C1595E">
      <w:pPr>
        <w:adjustRightInd w:val="0"/>
        <w:snapToGrid w:val="0"/>
        <w:spacing w:line="360" w:lineRule="auto"/>
        <w:ind w:firstLine="422"/>
        <w:jc w:val="left"/>
        <w:rPr>
          <w:rFonts w:ascii="宋体" w:hAnsi="宋体"/>
          <w:color w:val="auto"/>
          <w:szCs w:val="24"/>
          <w:highlight w:val="none"/>
          <w:u w:val="single"/>
        </w:rPr>
      </w:pPr>
      <w:r>
        <w:rPr>
          <w:rFonts w:hint="eastAsia" w:ascii="宋体" w:hAnsi="宋体"/>
          <w:b/>
          <w:bCs/>
          <w:color w:val="auto"/>
          <w:szCs w:val="24"/>
          <w:highlight w:val="none"/>
        </w:rPr>
        <w:t>乙方（成交供应商）：</w:t>
      </w:r>
      <w:r>
        <w:rPr>
          <w:rFonts w:hint="eastAsia" w:ascii="宋体" w:hAnsi="宋体"/>
          <w:b/>
          <w:bCs/>
          <w:color w:val="auto"/>
          <w:szCs w:val="24"/>
          <w:highlight w:val="none"/>
          <w:u w:val="single"/>
        </w:rPr>
        <w:t xml:space="preserve">                             </w:t>
      </w:r>
    </w:p>
    <w:p w14:paraId="70900505">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为了保护甲、乙双方合法权益，根据《中华人民共和国民法典》 、 《中华人民共和国政府采购法》和《中华人民共和国政府采购法实施条例》及其他有关法律、法规、规章，双方签订本合同协议书。</w:t>
      </w:r>
    </w:p>
    <w:p w14:paraId="5EDB600C">
      <w:pPr>
        <w:pStyle w:val="6"/>
        <w:adjustRightInd w:val="0"/>
        <w:snapToGrid w:val="0"/>
        <w:spacing w:line="360" w:lineRule="auto"/>
        <w:ind w:firstLine="422"/>
        <w:jc w:val="left"/>
        <w:rPr>
          <w:rFonts w:ascii="宋体" w:hAnsi="宋体"/>
          <w:b/>
          <w:bCs/>
          <w:color w:val="auto"/>
          <w:szCs w:val="24"/>
          <w:highlight w:val="none"/>
        </w:rPr>
      </w:pPr>
      <w:r>
        <w:rPr>
          <w:rFonts w:hint="eastAsia" w:ascii="宋体" w:hAnsi="宋体"/>
          <w:b/>
          <w:bCs/>
          <w:color w:val="auto"/>
          <w:szCs w:val="24"/>
          <w:highlight w:val="none"/>
        </w:rPr>
        <w:t>一、项目概述</w:t>
      </w:r>
    </w:p>
    <w:p w14:paraId="0F9A246A">
      <w:pPr>
        <w:adjustRightInd w:val="0"/>
        <w:snapToGrid w:val="0"/>
        <w:spacing w:line="360" w:lineRule="auto"/>
        <w:ind w:firstLine="420" w:firstLineChars="200"/>
        <w:jc w:val="left"/>
        <w:rPr>
          <w:rFonts w:hint="eastAsia" w:ascii="宋体" w:hAnsi="宋体" w:eastAsia="宋体"/>
          <w:color w:val="auto"/>
          <w:szCs w:val="24"/>
          <w:highlight w:val="none"/>
          <w:lang w:eastAsia="zh-CN"/>
        </w:rPr>
      </w:pPr>
      <w:r>
        <w:rPr>
          <w:rFonts w:hint="eastAsia" w:ascii="宋体" w:hAnsi="宋体"/>
          <w:color w:val="auto"/>
          <w:szCs w:val="24"/>
          <w:highlight w:val="none"/>
        </w:rPr>
        <w:t>1、项目名称：</w:t>
      </w:r>
      <w:r>
        <w:rPr>
          <w:rFonts w:hint="eastAsia" w:ascii="宋体" w:hAnsi="宋体"/>
          <w:color w:val="auto"/>
          <w:szCs w:val="24"/>
          <w:highlight w:val="none"/>
          <w:u w:val="single"/>
          <w:lang w:eastAsia="zh-CN"/>
        </w:rPr>
        <w:t>潼关县2025年林业草原有害生物防治项目</w:t>
      </w:r>
    </w:p>
    <w:p w14:paraId="5CCE6839">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2、项目地点：</w:t>
      </w:r>
      <w:r>
        <w:rPr>
          <w:rFonts w:hint="eastAsia" w:ascii="宋体" w:hAnsi="宋体"/>
          <w:color w:val="auto"/>
          <w:szCs w:val="24"/>
          <w:highlight w:val="none"/>
          <w:u w:val="single"/>
          <w:lang w:eastAsia="zh-CN"/>
        </w:rPr>
        <w:t>潼关县太要镇太峪村、桐峪镇</w:t>
      </w:r>
      <w:r>
        <w:rPr>
          <w:rFonts w:hint="eastAsia" w:ascii="宋体" w:hAnsi="宋体"/>
          <w:color w:val="auto"/>
          <w:szCs w:val="24"/>
          <w:highlight w:val="none"/>
          <w:u w:val="single"/>
        </w:rPr>
        <w:t xml:space="preserve"> </w:t>
      </w:r>
    </w:p>
    <w:p w14:paraId="1DA5CEE5">
      <w:pPr>
        <w:adjustRightInd w:val="0"/>
        <w:snapToGrid w:val="0"/>
        <w:spacing w:line="360" w:lineRule="auto"/>
        <w:ind w:firstLine="420" w:firstLineChars="200"/>
        <w:jc w:val="left"/>
        <w:rPr>
          <w:rFonts w:ascii="宋体" w:hAnsi="宋体"/>
          <w:color w:val="auto"/>
          <w:szCs w:val="24"/>
          <w:highlight w:val="none"/>
          <w:u w:val="single"/>
        </w:rPr>
      </w:pPr>
      <w:r>
        <w:rPr>
          <w:rFonts w:hint="eastAsia" w:ascii="宋体" w:hAnsi="宋体"/>
          <w:color w:val="auto"/>
          <w:szCs w:val="24"/>
          <w:highlight w:val="none"/>
        </w:rPr>
        <w:t>3、项目内容：</w:t>
      </w:r>
      <w:r>
        <w:rPr>
          <w:rFonts w:hint="eastAsia" w:ascii="宋体" w:hAnsi="宋体"/>
          <w:color w:val="auto"/>
          <w:szCs w:val="24"/>
          <w:highlight w:val="none"/>
          <w:u w:val="single"/>
        </w:rPr>
        <w:t xml:space="preserve">                                                    </w:t>
      </w:r>
    </w:p>
    <w:p w14:paraId="6E6E9388">
      <w:pPr>
        <w:adjustRightInd w:val="0"/>
        <w:snapToGrid w:val="0"/>
        <w:spacing w:line="360" w:lineRule="auto"/>
        <w:ind w:firstLine="420" w:firstLineChars="200"/>
        <w:jc w:val="left"/>
        <w:rPr>
          <w:rFonts w:ascii="宋体" w:hAnsi="宋体"/>
          <w:color w:val="auto"/>
          <w:highlight w:val="none"/>
        </w:rPr>
      </w:pPr>
      <w:r>
        <w:rPr>
          <w:rFonts w:hint="eastAsia" w:ascii="宋体" w:hAnsi="宋体"/>
          <w:color w:val="auto"/>
          <w:szCs w:val="24"/>
          <w:highlight w:val="none"/>
        </w:rPr>
        <w:t>4、服务期限：合同签订之日起20日历天</w:t>
      </w:r>
      <w:r>
        <w:rPr>
          <w:rFonts w:hint="eastAsia" w:ascii="宋体" w:hAnsi="宋体"/>
          <w:color w:val="auto"/>
          <w:szCs w:val="24"/>
          <w:highlight w:val="none"/>
          <w:u w:val="single"/>
        </w:rPr>
        <w:t>。</w:t>
      </w:r>
    </w:p>
    <w:p w14:paraId="30ABC5B4">
      <w:pPr>
        <w:pStyle w:val="6"/>
        <w:adjustRightInd w:val="0"/>
        <w:snapToGrid w:val="0"/>
        <w:spacing w:line="360" w:lineRule="auto"/>
        <w:ind w:firstLine="422"/>
        <w:jc w:val="left"/>
        <w:rPr>
          <w:rFonts w:ascii="宋体" w:hAnsi="宋体"/>
          <w:b/>
          <w:bCs/>
          <w:color w:val="auto"/>
          <w:szCs w:val="24"/>
          <w:highlight w:val="none"/>
        </w:rPr>
      </w:pPr>
      <w:r>
        <w:rPr>
          <w:rFonts w:hint="eastAsia" w:ascii="宋体" w:hAnsi="宋体"/>
          <w:b/>
          <w:bCs/>
          <w:color w:val="auto"/>
          <w:szCs w:val="24"/>
          <w:highlight w:val="none"/>
        </w:rPr>
        <w:t>二、合同价款</w:t>
      </w:r>
    </w:p>
    <w:p w14:paraId="3186785B">
      <w:pPr>
        <w:pStyle w:val="6"/>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1、合同总价款为人民币（大写）</w:t>
      </w:r>
      <w:r>
        <w:rPr>
          <w:rFonts w:hint="eastAsia" w:ascii="宋体" w:hAnsi="宋体"/>
          <w:color w:val="auto"/>
          <w:szCs w:val="24"/>
          <w:highlight w:val="none"/>
          <w:u w:val="single"/>
        </w:rPr>
        <w:t xml:space="preserve">              </w:t>
      </w:r>
      <w:r>
        <w:rPr>
          <w:rFonts w:hint="eastAsia" w:ascii="宋体" w:hAnsi="宋体"/>
          <w:color w:val="auto"/>
          <w:szCs w:val="24"/>
          <w:highlight w:val="none"/>
        </w:rPr>
        <w:t>（￥</w:t>
      </w:r>
      <w:r>
        <w:rPr>
          <w:rFonts w:hint="eastAsia" w:ascii="宋体" w:hAnsi="宋体"/>
          <w:color w:val="auto"/>
          <w:szCs w:val="24"/>
          <w:highlight w:val="none"/>
          <w:u w:val="single"/>
        </w:rPr>
        <w:t xml:space="preserve">           </w:t>
      </w:r>
      <w:r>
        <w:rPr>
          <w:rFonts w:hint="eastAsia" w:ascii="宋体" w:hAnsi="宋体"/>
          <w:color w:val="auto"/>
          <w:szCs w:val="24"/>
          <w:highlight w:val="none"/>
        </w:rPr>
        <w:t>）。</w:t>
      </w:r>
    </w:p>
    <w:p w14:paraId="40794831">
      <w:pPr>
        <w:adjustRightInd w:val="0"/>
        <w:snapToGrid w:val="0"/>
        <w:spacing w:line="360" w:lineRule="auto"/>
        <w:ind w:firstLine="420" w:firstLineChars="200"/>
        <w:jc w:val="left"/>
        <w:rPr>
          <w:rFonts w:ascii="宋体" w:hAnsi="宋体"/>
          <w:color w:val="auto"/>
          <w:szCs w:val="24"/>
          <w:highlight w:val="none"/>
          <w:u w:val="single"/>
        </w:rPr>
      </w:pPr>
      <w:r>
        <w:rPr>
          <w:rFonts w:hint="eastAsia" w:ascii="宋体" w:hAnsi="宋体"/>
          <w:color w:val="auto"/>
          <w:szCs w:val="24"/>
          <w:highlight w:val="none"/>
        </w:rPr>
        <w:t>2、合同价格形式：</w:t>
      </w:r>
      <w:r>
        <w:rPr>
          <w:rFonts w:hint="eastAsia" w:ascii="宋体" w:hAnsi="宋体"/>
          <w:color w:val="auto"/>
          <w:szCs w:val="24"/>
          <w:highlight w:val="none"/>
          <w:u w:val="single"/>
        </w:rPr>
        <w:t>合同总价包括</w:t>
      </w:r>
      <w:r>
        <w:rPr>
          <w:rFonts w:hint="eastAsia" w:ascii="宋体" w:hAnsi="宋体"/>
          <w:color w:val="auto"/>
          <w:szCs w:val="24"/>
          <w:highlight w:val="none"/>
          <w:u w:val="single"/>
          <w:lang w:val="en-US" w:eastAsia="zh-CN"/>
        </w:rPr>
        <w:t>人工费、物料费、服务费、管理费、税金等所有费用</w:t>
      </w:r>
      <w:r>
        <w:rPr>
          <w:rFonts w:hint="eastAsia" w:ascii="宋体" w:hAnsi="宋体"/>
          <w:color w:val="auto"/>
          <w:szCs w:val="24"/>
          <w:highlight w:val="none"/>
          <w:u w:val="single"/>
        </w:rPr>
        <w:t>。</w:t>
      </w:r>
    </w:p>
    <w:p w14:paraId="05681016">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3、合同总价一次性包死，不受市场价格变化因素的影响</w:t>
      </w:r>
    </w:p>
    <w:p w14:paraId="328811B1">
      <w:pPr>
        <w:pStyle w:val="6"/>
        <w:adjustRightInd w:val="0"/>
        <w:snapToGrid w:val="0"/>
        <w:spacing w:line="360" w:lineRule="auto"/>
        <w:ind w:firstLine="422"/>
        <w:jc w:val="left"/>
        <w:rPr>
          <w:rFonts w:ascii="宋体" w:hAnsi="宋体"/>
          <w:b/>
          <w:bCs/>
          <w:color w:val="auto"/>
          <w:szCs w:val="24"/>
          <w:highlight w:val="none"/>
        </w:rPr>
      </w:pPr>
      <w:r>
        <w:rPr>
          <w:rFonts w:hint="eastAsia" w:ascii="宋体" w:hAnsi="宋体"/>
          <w:b/>
          <w:bCs/>
          <w:color w:val="auto"/>
          <w:szCs w:val="24"/>
          <w:highlight w:val="none"/>
        </w:rPr>
        <w:t>三、付款方式和发票开具方式</w:t>
      </w:r>
    </w:p>
    <w:p w14:paraId="10B7F64B">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1、付款方式</w:t>
      </w:r>
      <w:r>
        <w:rPr>
          <w:rFonts w:hint="eastAsia" w:ascii="宋体" w:hAnsi="宋体"/>
          <w:color w:val="auto"/>
          <w:szCs w:val="24"/>
          <w:highlight w:val="none"/>
          <w:lang w:val="en-US" w:eastAsia="zh-CN"/>
        </w:rPr>
        <w:t>合同签订后支付合同总金额的40%作为预付款，剩余60%项目完成验收合格后一次性付清</w:t>
      </w:r>
      <w:r>
        <w:rPr>
          <w:rFonts w:hint="eastAsia" w:ascii="宋体" w:hAnsi="宋体"/>
          <w:color w:val="auto"/>
          <w:szCs w:val="24"/>
          <w:highlight w:val="none"/>
        </w:rPr>
        <w:t>。</w:t>
      </w:r>
    </w:p>
    <w:p w14:paraId="67517F72">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2、支付方式：银行转帐。</w:t>
      </w:r>
    </w:p>
    <w:p w14:paraId="59E53124">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3、乙方在接受付款前，根据支付方式开具等额发票给甲方。否则甲方有权拒绝付款且不因此承担任何违约责任。</w:t>
      </w:r>
    </w:p>
    <w:p w14:paraId="444D3BEE">
      <w:pPr>
        <w:pStyle w:val="6"/>
        <w:adjustRightInd w:val="0"/>
        <w:snapToGrid w:val="0"/>
        <w:spacing w:line="360" w:lineRule="auto"/>
        <w:ind w:firstLine="422"/>
        <w:jc w:val="left"/>
        <w:rPr>
          <w:rFonts w:ascii="宋体" w:hAnsi="宋体"/>
          <w:b/>
          <w:bCs/>
          <w:color w:val="auto"/>
          <w:szCs w:val="24"/>
          <w:highlight w:val="none"/>
        </w:rPr>
      </w:pPr>
      <w:r>
        <w:rPr>
          <w:rFonts w:hint="eastAsia" w:ascii="宋体" w:hAnsi="宋体"/>
          <w:b/>
          <w:bCs/>
          <w:color w:val="auto"/>
          <w:szCs w:val="24"/>
          <w:highlight w:val="none"/>
        </w:rPr>
        <w:t>四、双方的权利和义务</w:t>
      </w:r>
    </w:p>
    <w:p w14:paraId="55221F24">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(一)甲方的权利与义务</w:t>
      </w:r>
    </w:p>
    <w:p w14:paraId="6422A493">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1、甲方有权对乙方的项目实施情况进行检查和监督，对检查中发现的问题及时向乙方提出书面或口头改进意见，并要求乙方限期予以整改。对乙方不符合本项目要求规定，造成严重影响的行为进行处罚。</w:t>
      </w:r>
    </w:p>
    <w:p w14:paraId="426F13B2">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 xml:space="preserve">2、甲方可要求乙方调整不合格的服务人员，并于5日内调整到位。 </w:t>
      </w:r>
    </w:p>
    <w:p w14:paraId="4C3B16F4">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 xml:space="preserve">3、双方可根据政策的变动并结合实际情况对合同项目内容进行修改和补充，对项目内容的修改和补充双方以书面补充协议形式做出。 </w:t>
      </w:r>
    </w:p>
    <w:p w14:paraId="51F7BD44">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4、甲方有权调阅乙方关于该项目的全部工作资料。</w:t>
      </w:r>
    </w:p>
    <w:p w14:paraId="54652ECB">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(二) 乙方的权利与义务</w:t>
      </w:r>
    </w:p>
    <w:p w14:paraId="47CC0892">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1、乙方须制定防控实施方案和应急处置预案，于合同签订后2日内将该方案报送甲方审核后执行。</w:t>
      </w:r>
    </w:p>
    <w:p w14:paraId="16844AE7">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2、乙方须按甲方的要求</w:t>
      </w:r>
      <w:bookmarkStart w:id="1" w:name="OLE_LINK3"/>
      <w:r>
        <w:rPr>
          <w:rFonts w:hint="eastAsia" w:ascii="宋体" w:hAnsi="宋体"/>
          <w:color w:val="auto"/>
          <w:szCs w:val="24"/>
          <w:highlight w:val="none"/>
        </w:rPr>
        <w:t>实行周报制度，每周五16:00前将监测、普查和防治情况书面上报区森林资源管理中心</w:t>
      </w:r>
      <w:bookmarkEnd w:id="1"/>
      <w:r>
        <w:rPr>
          <w:rFonts w:hint="eastAsia" w:ascii="宋体" w:hAnsi="宋体"/>
          <w:color w:val="auto"/>
          <w:szCs w:val="24"/>
          <w:highlight w:val="none"/>
        </w:rPr>
        <w:t>。</w:t>
      </w:r>
    </w:p>
    <w:p w14:paraId="04A3D6EE">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3、乙方发现虫情立即报告，经甲方同意后，将有关疫情照片、信息上报报送区林业局。不按时上报各类计划或计划执行严重滞后，乙方须承担人民币1000元/次的违约金，累计连续违约3次，且未按甲方要求及时整改的，甲方有权解除合同，由此造成的损失，由乙方承担。</w:t>
      </w:r>
    </w:p>
    <w:p w14:paraId="145322B9">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4、发现虫情立即按照技术要求进行虫情除治作业，对施工中延误最佳防治期的，每延期一天处罚2000元。</w:t>
      </w:r>
    </w:p>
    <w:p w14:paraId="137221E2">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5、乙方在实施作业期间，所有安全责任由乙方自行承担；乙方在施工时要加强对施工员的管理，提高安全意识，做好安全防范工作，加强火源管理，杜绝一切野外非法用火，严防火灾，确保施工员人身安全。</w:t>
      </w:r>
    </w:p>
    <w:p w14:paraId="5005CCDE">
      <w:pPr>
        <w:pStyle w:val="6"/>
        <w:adjustRightInd w:val="0"/>
        <w:snapToGrid w:val="0"/>
        <w:spacing w:line="360" w:lineRule="auto"/>
        <w:ind w:firstLine="422"/>
        <w:jc w:val="left"/>
        <w:rPr>
          <w:rFonts w:ascii="宋体" w:hAnsi="宋体"/>
          <w:b/>
          <w:bCs/>
          <w:color w:val="auto"/>
          <w:szCs w:val="24"/>
          <w:highlight w:val="none"/>
        </w:rPr>
      </w:pPr>
      <w:r>
        <w:rPr>
          <w:rFonts w:hint="eastAsia" w:ascii="宋体" w:hAnsi="宋体"/>
          <w:b/>
          <w:bCs/>
          <w:color w:val="auto"/>
          <w:szCs w:val="24"/>
          <w:highlight w:val="none"/>
        </w:rPr>
        <w:t>五、验收</w:t>
      </w:r>
    </w:p>
    <w:p w14:paraId="29CC0C94">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甲方根据磋商文件、响应文件和合同约定标准、技术和服务逐项验收。</w:t>
      </w:r>
    </w:p>
    <w:p w14:paraId="141F7ED9">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验收依据：甲方组织相关部门、专家进行现场验收，现场随机抽查每个街道办不少于5个行政村。</w:t>
      </w:r>
    </w:p>
    <w:p w14:paraId="61B78088">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1、验收时，若发现幼虫或网幕，整体超过2株，则每株扣除合同总价款的5%；超过5株以上虫体或网幕或不合格行政村超过3个，验收不合格，甲方有权直接解除本合同，乙方承担违约责任。</w:t>
      </w:r>
    </w:p>
    <w:p w14:paraId="65477ECD">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2、未完成防控目标的，兑付金额减半支付。</w:t>
      </w:r>
    </w:p>
    <w:p w14:paraId="182F6E6E">
      <w:pPr>
        <w:pStyle w:val="6"/>
        <w:adjustRightInd w:val="0"/>
        <w:snapToGrid w:val="0"/>
        <w:spacing w:line="360" w:lineRule="auto"/>
        <w:ind w:firstLine="422"/>
        <w:jc w:val="left"/>
        <w:rPr>
          <w:rFonts w:ascii="宋体" w:hAnsi="宋体"/>
          <w:b/>
          <w:bCs/>
          <w:color w:val="auto"/>
          <w:szCs w:val="24"/>
          <w:highlight w:val="none"/>
        </w:rPr>
      </w:pPr>
      <w:r>
        <w:rPr>
          <w:rFonts w:hint="eastAsia" w:ascii="宋体" w:hAnsi="宋体"/>
          <w:b/>
          <w:bCs/>
          <w:color w:val="auto"/>
          <w:szCs w:val="24"/>
          <w:highlight w:val="none"/>
        </w:rPr>
        <w:t>六、成果交付要求</w:t>
      </w:r>
    </w:p>
    <w:p w14:paraId="55A8B517">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1、原始材料</w:t>
      </w:r>
    </w:p>
    <w:p w14:paraId="517B8105">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①防控监测调查的外业原始记录表格、影像资料等；</w:t>
      </w:r>
    </w:p>
    <w:p w14:paraId="2B939C9F">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②防控普查调查外业原始记录表格、影像资料等；</w:t>
      </w:r>
    </w:p>
    <w:p w14:paraId="609CE426">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③防控喷药防治外业原始记录表格、影像资料等；</w:t>
      </w:r>
    </w:p>
    <w:p w14:paraId="6F199D06">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④防控宣传培训原始记录表格、影像资料等</w:t>
      </w:r>
    </w:p>
    <w:p w14:paraId="6846F321">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⑤项目部人员、监测员、普查员、喷防员的汇总统计表（加盖公章）</w:t>
      </w:r>
    </w:p>
    <w:p w14:paraId="10EF462B">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2、档案资料移交与接管</w:t>
      </w:r>
    </w:p>
    <w:p w14:paraId="52E40FD3">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合同任务完成结束后，按照档案管理的要求，由区森林资源管理中心森防室配备专人负责档案资料的接收、整理、保管和提供利用。档案保存形式以纸质档案和电子档案为主，纸质档案包括上述疫情防控过程性资料内容，字迹清楚。</w:t>
      </w:r>
    </w:p>
    <w:p w14:paraId="4CD8B3ED">
      <w:pPr>
        <w:pStyle w:val="6"/>
        <w:adjustRightInd w:val="0"/>
        <w:snapToGrid w:val="0"/>
        <w:spacing w:line="360" w:lineRule="auto"/>
        <w:ind w:firstLine="422"/>
        <w:jc w:val="left"/>
        <w:rPr>
          <w:rFonts w:ascii="宋体" w:hAnsi="宋体"/>
          <w:b/>
          <w:bCs/>
          <w:color w:val="auto"/>
          <w:szCs w:val="24"/>
          <w:highlight w:val="none"/>
        </w:rPr>
      </w:pPr>
      <w:r>
        <w:rPr>
          <w:rFonts w:hint="eastAsia" w:ascii="宋体" w:hAnsi="宋体"/>
          <w:b/>
          <w:bCs/>
          <w:color w:val="auto"/>
          <w:szCs w:val="24"/>
          <w:highlight w:val="none"/>
        </w:rPr>
        <w:t>七、违约责任</w:t>
      </w:r>
    </w:p>
    <w:p w14:paraId="43AD143E">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1、按《中华人民共和国民法典》中的相关条款执行。</w:t>
      </w:r>
    </w:p>
    <w:p w14:paraId="0A2063C4">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2、合同所订一切条款，甲、乙任何一方不得擅自变更或修改。如一方单独变更、修改合同，对方有权拒绝，并要求变更、修改合同一方赔偿一切损失。</w:t>
      </w:r>
    </w:p>
    <w:p w14:paraId="11782FEB">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3、合同生效后，除合同另有约定外，甲、乙双方不得中途毁约，否则视为违约，违约方除向对方支付已发生的各项费用外，还需支付违约金，违约为合同金额的10%。</w:t>
      </w:r>
    </w:p>
    <w:p w14:paraId="6737EFBB">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4、乙方未按合同要求及时提供监测普查防治服务或提供的服务不能满足技术标准和要求，需在甲方指定的期限内无条件重新提供满足甲方需求的相关服务，否则甲方有权解除本合同，甲方解除合同的书面通知书到达乙方之日起合同解除，甲方可不向乙方支付任何费用。</w:t>
      </w:r>
    </w:p>
    <w:p w14:paraId="5BF33BFE">
      <w:pPr>
        <w:pStyle w:val="6"/>
        <w:adjustRightInd w:val="0"/>
        <w:snapToGrid w:val="0"/>
        <w:spacing w:line="360" w:lineRule="auto"/>
        <w:ind w:firstLine="422"/>
        <w:jc w:val="left"/>
        <w:rPr>
          <w:rFonts w:ascii="宋体" w:hAnsi="宋体"/>
          <w:b/>
          <w:bCs/>
          <w:color w:val="auto"/>
          <w:szCs w:val="24"/>
          <w:highlight w:val="none"/>
        </w:rPr>
      </w:pPr>
      <w:r>
        <w:rPr>
          <w:rFonts w:hint="eastAsia" w:ascii="宋体" w:hAnsi="宋体"/>
          <w:b/>
          <w:bCs/>
          <w:color w:val="auto"/>
          <w:szCs w:val="24"/>
          <w:highlight w:val="none"/>
        </w:rPr>
        <w:t>八、合同争议解决的方式</w:t>
      </w:r>
    </w:p>
    <w:p w14:paraId="0EE155F5">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本合同在履行过程中发生的争议，由甲、乙双方当事人协商解决，协商不成的按下列第</w:t>
      </w:r>
      <w:r>
        <w:rPr>
          <w:rFonts w:hint="eastAsia" w:ascii="宋体" w:hAnsi="宋体"/>
          <w:color w:val="auto"/>
          <w:szCs w:val="24"/>
          <w:highlight w:val="none"/>
          <w:u w:val="single"/>
        </w:rPr>
        <w:t xml:space="preserve"> 2 </w:t>
      </w:r>
      <w:r>
        <w:rPr>
          <w:rFonts w:hint="eastAsia" w:ascii="宋体" w:hAnsi="宋体"/>
          <w:color w:val="auto"/>
          <w:szCs w:val="24"/>
          <w:highlight w:val="none"/>
        </w:rPr>
        <w:t>种方式解决：</w:t>
      </w:r>
    </w:p>
    <w:p w14:paraId="7C5BEBC5">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1、申请仲裁委员会仲裁；</w:t>
      </w:r>
    </w:p>
    <w:p w14:paraId="488A18F7">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2、向甲方住所地人民法院起诉。</w:t>
      </w:r>
    </w:p>
    <w:p w14:paraId="0F92B072">
      <w:pPr>
        <w:pStyle w:val="6"/>
        <w:adjustRightInd w:val="0"/>
        <w:snapToGrid w:val="0"/>
        <w:spacing w:line="360" w:lineRule="auto"/>
        <w:ind w:firstLine="422"/>
        <w:jc w:val="left"/>
        <w:rPr>
          <w:rFonts w:ascii="宋体" w:hAnsi="宋体"/>
          <w:color w:val="auto"/>
          <w:szCs w:val="24"/>
          <w:highlight w:val="none"/>
        </w:rPr>
      </w:pPr>
      <w:r>
        <w:rPr>
          <w:rFonts w:hint="eastAsia" w:ascii="宋体" w:hAnsi="宋体"/>
          <w:b/>
          <w:bCs/>
          <w:color w:val="auto"/>
          <w:szCs w:val="24"/>
          <w:highlight w:val="none"/>
        </w:rPr>
        <w:t>九、合同生效及其它</w:t>
      </w:r>
    </w:p>
    <w:p w14:paraId="14637940">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1、合同未尽事宜、由甲、乙双方协商，作为合同补充，与原合同具有同等法律效力。</w:t>
      </w:r>
    </w:p>
    <w:p w14:paraId="0C0D6813">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2、本合同正本一式</w:t>
      </w:r>
      <w:r>
        <w:rPr>
          <w:rFonts w:hint="eastAsia" w:ascii="宋体" w:hAnsi="宋体"/>
          <w:color w:val="auto"/>
          <w:szCs w:val="24"/>
          <w:highlight w:val="none"/>
          <w:u w:val="single"/>
        </w:rPr>
        <w:t xml:space="preserve">    </w:t>
      </w:r>
      <w:r>
        <w:rPr>
          <w:rFonts w:hint="eastAsia" w:ascii="宋体" w:hAnsi="宋体"/>
          <w:color w:val="auto"/>
          <w:szCs w:val="24"/>
          <w:highlight w:val="none"/>
        </w:rPr>
        <w:t>份，甲乙双方各执</w:t>
      </w:r>
      <w:r>
        <w:rPr>
          <w:rFonts w:hint="eastAsia" w:ascii="宋体" w:hAnsi="宋体"/>
          <w:color w:val="auto"/>
          <w:szCs w:val="24"/>
          <w:highlight w:val="none"/>
          <w:u w:val="single"/>
        </w:rPr>
        <w:t xml:space="preserve">   </w:t>
      </w:r>
      <w:r>
        <w:rPr>
          <w:rFonts w:hint="eastAsia" w:ascii="宋体" w:hAnsi="宋体"/>
          <w:color w:val="auto"/>
          <w:szCs w:val="24"/>
          <w:highlight w:val="none"/>
        </w:rPr>
        <w:t>份。</w:t>
      </w:r>
    </w:p>
    <w:p w14:paraId="5F34F261">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3、合同经甲乙双方盖章、签字后生效。</w:t>
      </w:r>
    </w:p>
    <w:p w14:paraId="5E8A2481">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4、合同签订地点：</w:t>
      </w:r>
      <w:r>
        <w:rPr>
          <w:rFonts w:hint="eastAsia" w:ascii="宋体" w:hAnsi="宋体"/>
          <w:color w:val="auto"/>
          <w:szCs w:val="24"/>
          <w:highlight w:val="none"/>
          <w:lang w:eastAsia="zh-CN"/>
        </w:rPr>
        <w:t>潼关县林业局</w:t>
      </w:r>
      <w:r>
        <w:rPr>
          <w:rFonts w:hint="eastAsia" w:ascii="宋体" w:hAnsi="宋体"/>
          <w:color w:val="auto"/>
          <w:szCs w:val="24"/>
          <w:highlight w:val="none"/>
        </w:rPr>
        <w:t>。</w:t>
      </w:r>
    </w:p>
    <w:p w14:paraId="4FFA4430">
      <w:pPr>
        <w:pStyle w:val="7"/>
        <w:ind w:firstLine="360"/>
        <w:rPr>
          <w:rFonts w:ascii="宋体" w:hAnsi="宋体"/>
          <w:color w:val="auto"/>
          <w:highlight w:val="none"/>
        </w:rPr>
      </w:pPr>
    </w:p>
    <w:tbl>
      <w:tblPr>
        <w:tblStyle w:val="9"/>
        <w:tblpPr w:leftFromText="180" w:rightFromText="180" w:vertAnchor="text" w:horzAnchor="page" w:tblpX="1438" w:tblpY="637"/>
        <w:tblOverlap w:val="never"/>
        <w:tblW w:w="5211" w:type="pct"/>
        <w:tblInd w:w="0" w:type="dxa"/>
        <w:tblLayout w:type="autofit"/>
        <w:tblCellMar>
          <w:top w:w="0" w:type="dxa"/>
          <w:left w:w="108" w:type="dxa"/>
          <w:bottom w:w="0" w:type="dxa"/>
          <w:right w:w="108" w:type="dxa"/>
        </w:tblCellMar>
      </w:tblPr>
      <w:tblGrid>
        <w:gridCol w:w="4632"/>
        <w:gridCol w:w="4250"/>
      </w:tblGrid>
      <w:tr w14:paraId="13A5027E">
        <w:tblPrEx>
          <w:tblCellMar>
            <w:top w:w="0" w:type="dxa"/>
            <w:left w:w="108" w:type="dxa"/>
            <w:bottom w:w="0" w:type="dxa"/>
            <w:right w:w="108" w:type="dxa"/>
          </w:tblCellMar>
        </w:tblPrEx>
        <w:trPr>
          <w:trHeight w:val="123" w:hRule="atLeast"/>
        </w:trPr>
        <w:tc>
          <w:tcPr>
            <w:tcW w:w="2607" w:type="pct"/>
            <w:vAlign w:val="center"/>
          </w:tcPr>
          <w:p w14:paraId="2A4216F8">
            <w:pPr>
              <w:pStyle w:val="6"/>
              <w:widowControl/>
              <w:spacing w:line="480" w:lineRule="exact"/>
              <w:jc w:val="both"/>
              <w:rPr>
                <w:rFonts w:ascii="宋体" w:hAnsi="宋体"/>
                <w:color w:val="auto"/>
                <w:szCs w:val="24"/>
                <w:highlight w:val="none"/>
              </w:rPr>
            </w:pPr>
            <w:r>
              <w:rPr>
                <w:rFonts w:hint="eastAsia" w:ascii="宋体" w:hAnsi="宋体"/>
                <w:color w:val="auto"/>
                <w:szCs w:val="24"/>
                <w:highlight w:val="none"/>
              </w:rPr>
              <w:t>甲方（盖章）：</w:t>
            </w:r>
            <w:r>
              <w:rPr>
                <w:rFonts w:hint="eastAsia" w:ascii="宋体" w:hAnsi="宋体"/>
                <w:color w:val="auto"/>
                <w:szCs w:val="24"/>
                <w:highlight w:val="none"/>
                <w:lang w:eastAsia="zh-CN"/>
              </w:rPr>
              <w:t>潼关县林业局</w:t>
            </w:r>
            <w:r>
              <w:rPr>
                <w:rFonts w:hint="eastAsia" w:ascii="宋体" w:hAnsi="宋体"/>
                <w:color w:val="auto"/>
                <w:szCs w:val="24"/>
                <w:highlight w:val="none"/>
              </w:rPr>
              <w:t xml:space="preserve"> </w:t>
            </w:r>
          </w:p>
          <w:p w14:paraId="6F515506">
            <w:pPr>
              <w:pStyle w:val="6"/>
              <w:widowControl/>
              <w:spacing w:line="480" w:lineRule="exact"/>
              <w:jc w:val="both"/>
              <w:rPr>
                <w:rFonts w:ascii="宋体" w:hAnsi="宋体"/>
                <w:color w:val="auto"/>
                <w:szCs w:val="24"/>
                <w:highlight w:val="none"/>
              </w:rPr>
            </w:pPr>
            <w:r>
              <w:rPr>
                <w:rFonts w:hint="eastAsia" w:ascii="宋体" w:hAnsi="宋体"/>
                <w:color w:val="auto"/>
                <w:szCs w:val="24"/>
                <w:highlight w:val="none"/>
              </w:rPr>
              <w:t>法定代表人：</w:t>
            </w:r>
          </w:p>
          <w:p w14:paraId="64719B52">
            <w:pPr>
              <w:pStyle w:val="6"/>
              <w:widowControl/>
              <w:spacing w:line="480" w:lineRule="exact"/>
              <w:jc w:val="both"/>
              <w:rPr>
                <w:rFonts w:ascii="宋体" w:hAnsi="宋体"/>
                <w:color w:val="auto"/>
                <w:szCs w:val="24"/>
                <w:highlight w:val="none"/>
              </w:rPr>
            </w:pPr>
            <w:r>
              <w:rPr>
                <w:rFonts w:hint="eastAsia" w:ascii="宋体" w:hAnsi="宋体"/>
                <w:color w:val="auto"/>
                <w:szCs w:val="24"/>
                <w:highlight w:val="none"/>
              </w:rPr>
              <w:t>（签字或盖章）</w:t>
            </w:r>
          </w:p>
          <w:p w14:paraId="25EE71A0">
            <w:pPr>
              <w:pStyle w:val="6"/>
              <w:widowControl/>
              <w:spacing w:line="480" w:lineRule="exact"/>
              <w:jc w:val="both"/>
              <w:rPr>
                <w:rFonts w:ascii="宋体" w:hAnsi="宋体"/>
                <w:color w:val="auto"/>
                <w:szCs w:val="24"/>
                <w:highlight w:val="none"/>
              </w:rPr>
            </w:pPr>
            <w:r>
              <w:rPr>
                <w:rFonts w:hint="eastAsia" w:ascii="宋体" w:hAnsi="宋体"/>
                <w:color w:val="auto"/>
                <w:szCs w:val="24"/>
                <w:highlight w:val="none"/>
              </w:rPr>
              <w:t>或授权代表：</w:t>
            </w:r>
          </w:p>
          <w:p w14:paraId="5E6A745E">
            <w:pPr>
              <w:pStyle w:val="6"/>
              <w:widowControl/>
              <w:spacing w:line="480" w:lineRule="exact"/>
              <w:jc w:val="both"/>
              <w:rPr>
                <w:rFonts w:ascii="宋体" w:hAnsi="宋体"/>
                <w:color w:val="auto"/>
                <w:szCs w:val="24"/>
                <w:highlight w:val="none"/>
              </w:rPr>
            </w:pPr>
            <w:r>
              <w:rPr>
                <w:rFonts w:hint="eastAsia" w:ascii="宋体" w:hAnsi="宋体"/>
                <w:color w:val="auto"/>
                <w:szCs w:val="24"/>
                <w:highlight w:val="none"/>
              </w:rPr>
              <w:t>（签字）</w:t>
            </w:r>
          </w:p>
          <w:p w14:paraId="461FC99E">
            <w:pPr>
              <w:pStyle w:val="6"/>
              <w:widowControl/>
              <w:spacing w:line="480" w:lineRule="exact"/>
              <w:jc w:val="both"/>
              <w:rPr>
                <w:rFonts w:ascii="宋体" w:hAnsi="宋体"/>
                <w:color w:val="auto"/>
                <w:szCs w:val="24"/>
                <w:highlight w:val="none"/>
              </w:rPr>
            </w:pPr>
            <w:r>
              <w:rPr>
                <w:rFonts w:hint="eastAsia" w:ascii="宋体" w:hAnsi="宋体"/>
                <w:color w:val="auto"/>
                <w:szCs w:val="24"/>
                <w:highlight w:val="none"/>
              </w:rPr>
              <w:t>单位地址：</w:t>
            </w:r>
          </w:p>
          <w:p w14:paraId="13E72DC9">
            <w:pPr>
              <w:pStyle w:val="6"/>
              <w:widowControl/>
              <w:spacing w:line="480" w:lineRule="exact"/>
              <w:jc w:val="both"/>
              <w:rPr>
                <w:rFonts w:ascii="宋体" w:hAnsi="宋体"/>
                <w:color w:val="auto"/>
                <w:szCs w:val="24"/>
                <w:highlight w:val="none"/>
              </w:rPr>
            </w:pPr>
            <w:r>
              <w:rPr>
                <w:rFonts w:hint="eastAsia" w:ascii="宋体" w:hAnsi="宋体"/>
                <w:color w:val="auto"/>
                <w:szCs w:val="24"/>
                <w:highlight w:val="none"/>
              </w:rPr>
              <w:t>联系人：</w:t>
            </w:r>
          </w:p>
          <w:p w14:paraId="70636B72">
            <w:pPr>
              <w:pStyle w:val="6"/>
              <w:widowControl/>
              <w:spacing w:line="480" w:lineRule="exact"/>
              <w:jc w:val="both"/>
              <w:rPr>
                <w:rFonts w:ascii="宋体" w:hAnsi="宋体"/>
                <w:color w:val="auto"/>
                <w:szCs w:val="24"/>
                <w:highlight w:val="none"/>
              </w:rPr>
            </w:pPr>
            <w:r>
              <w:rPr>
                <w:rFonts w:hint="eastAsia" w:ascii="宋体" w:hAnsi="宋体"/>
                <w:color w:val="auto"/>
                <w:szCs w:val="24"/>
                <w:highlight w:val="none"/>
              </w:rPr>
              <w:t>联系电话：</w:t>
            </w:r>
          </w:p>
          <w:p w14:paraId="7E17F9B4">
            <w:pPr>
              <w:pStyle w:val="6"/>
              <w:widowControl/>
              <w:spacing w:line="480" w:lineRule="exact"/>
              <w:jc w:val="both"/>
              <w:rPr>
                <w:rFonts w:ascii="宋体" w:hAnsi="宋体"/>
                <w:color w:val="auto"/>
                <w:szCs w:val="24"/>
                <w:highlight w:val="none"/>
              </w:rPr>
            </w:pPr>
            <w:r>
              <w:rPr>
                <w:rFonts w:hint="eastAsia" w:ascii="宋体" w:hAnsi="宋体"/>
                <w:color w:val="auto"/>
                <w:szCs w:val="24"/>
                <w:highlight w:val="none"/>
              </w:rPr>
              <w:t>开户银行：</w:t>
            </w:r>
          </w:p>
          <w:p w14:paraId="70A75A82">
            <w:pPr>
              <w:pStyle w:val="6"/>
              <w:widowControl/>
              <w:spacing w:line="480" w:lineRule="exact"/>
              <w:jc w:val="both"/>
              <w:rPr>
                <w:rFonts w:ascii="宋体" w:hAnsi="宋体"/>
                <w:color w:val="auto"/>
                <w:szCs w:val="24"/>
                <w:highlight w:val="none"/>
              </w:rPr>
            </w:pPr>
            <w:r>
              <w:rPr>
                <w:rFonts w:hint="eastAsia" w:ascii="宋体" w:hAnsi="宋体"/>
                <w:color w:val="auto"/>
                <w:szCs w:val="24"/>
                <w:highlight w:val="none"/>
              </w:rPr>
              <w:t>银行帐号：</w:t>
            </w:r>
          </w:p>
          <w:p w14:paraId="4CB66672">
            <w:pPr>
              <w:pStyle w:val="6"/>
              <w:widowControl/>
              <w:spacing w:line="480" w:lineRule="exact"/>
              <w:jc w:val="both"/>
              <w:rPr>
                <w:rFonts w:ascii="宋体" w:hAnsi="宋体"/>
                <w:color w:val="auto"/>
                <w:szCs w:val="24"/>
                <w:highlight w:val="none"/>
              </w:rPr>
            </w:pPr>
            <w:r>
              <w:rPr>
                <w:rFonts w:hint="eastAsia" w:ascii="宋体" w:hAnsi="宋体"/>
                <w:color w:val="auto"/>
                <w:szCs w:val="24"/>
                <w:highlight w:val="none"/>
              </w:rPr>
              <w:t>签订日期：2026年   月   日</w:t>
            </w:r>
          </w:p>
        </w:tc>
        <w:tc>
          <w:tcPr>
            <w:tcW w:w="2392" w:type="pct"/>
            <w:vAlign w:val="center"/>
          </w:tcPr>
          <w:p w14:paraId="08A715CB">
            <w:pPr>
              <w:pStyle w:val="6"/>
              <w:widowControl/>
              <w:spacing w:line="480" w:lineRule="exact"/>
              <w:jc w:val="both"/>
              <w:rPr>
                <w:rFonts w:ascii="宋体" w:hAnsi="宋体"/>
                <w:color w:val="auto"/>
                <w:szCs w:val="24"/>
                <w:highlight w:val="none"/>
              </w:rPr>
            </w:pPr>
            <w:r>
              <w:rPr>
                <w:rFonts w:hint="eastAsia" w:ascii="宋体" w:hAnsi="宋体"/>
                <w:color w:val="auto"/>
                <w:szCs w:val="24"/>
                <w:highlight w:val="none"/>
              </w:rPr>
              <w:t>乙方（盖章）：</w:t>
            </w:r>
          </w:p>
          <w:p w14:paraId="22EF7271">
            <w:pPr>
              <w:pStyle w:val="6"/>
              <w:widowControl/>
              <w:spacing w:line="480" w:lineRule="exact"/>
              <w:jc w:val="both"/>
              <w:rPr>
                <w:rFonts w:ascii="宋体" w:hAnsi="宋体"/>
                <w:color w:val="auto"/>
                <w:szCs w:val="24"/>
                <w:highlight w:val="none"/>
              </w:rPr>
            </w:pPr>
            <w:r>
              <w:rPr>
                <w:rFonts w:hint="eastAsia" w:ascii="宋体" w:hAnsi="宋体"/>
                <w:color w:val="auto"/>
                <w:szCs w:val="24"/>
                <w:highlight w:val="none"/>
              </w:rPr>
              <w:t>法定代表人：</w:t>
            </w:r>
          </w:p>
          <w:p w14:paraId="6A4817BC">
            <w:pPr>
              <w:pStyle w:val="6"/>
              <w:widowControl/>
              <w:spacing w:line="480" w:lineRule="exact"/>
              <w:jc w:val="both"/>
              <w:rPr>
                <w:rFonts w:ascii="宋体" w:hAnsi="宋体"/>
                <w:color w:val="auto"/>
                <w:szCs w:val="24"/>
                <w:highlight w:val="none"/>
              </w:rPr>
            </w:pPr>
            <w:r>
              <w:rPr>
                <w:rFonts w:hint="eastAsia" w:ascii="宋体" w:hAnsi="宋体"/>
                <w:color w:val="auto"/>
                <w:szCs w:val="24"/>
                <w:highlight w:val="none"/>
              </w:rPr>
              <w:t>（签字或盖章）</w:t>
            </w:r>
          </w:p>
          <w:p w14:paraId="739B7748">
            <w:pPr>
              <w:pStyle w:val="6"/>
              <w:widowControl/>
              <w:spacing w:line="480" w:lineRule="exact"/>
              <w:jc w:val="both"/>
              <w:rPr>
                <w:rFonts w:ascii="宋体" w:hAnsi="宋体"/>
                <w:color w:val="auto"/>
                <w:szCs w:val="24"/>
                <w:highlight w:val="none"/>
              </w:rPr>
            </w:pPr>
            <w:r>
              <w:rPr>
                <w:rFonts w:hint="eastAsia" w:ascii="宋体" w:hAnsi="宋体"/>
                <w:color w:val="auto"/>
                <w:szCs w:val="24"/>
                <w:highlight w:val="none"/>
              </w:rPr>
              <w:t>或授权代表：</w:t>
            </w:r>
          </w:p>
          <w:p w14:paraId="09A8EA2E">
            <w:pPr>
              <w:pStyle w:val="6"/>
              <w:widowControl/>
              <w:spacing w:line="480" w:lineRule="exact"/>
              <w:jc w:val="both"/>
              <w:rPr>
                <w:rFonts w:ascii="宋体" w:hAnsi="宋体"/>
                <w:color w:val="auto"/>
                <w:szCs w:val="24"/>
                <w:highlight w:val="none"/>
              </w:rPr>
            </w:pPr>
            <w:r>
              <w:rPr>
                <w:rFonts w:hint="eastAsia" w:ascii="宋体" w:hAnsi="宋体"/>
                <w:color w:val="auto"/>
                <w:szCs w:val="24"/>
                <w:highlight w:val="none"/>
              </w:rPr>
              <w:t>（签字）</w:t>
            </w:r>
          </w:p>
          <w:p w14:paraId="4DD822B4">
            <w:pPr>
              <w:pStyle w:val="6"/>
              <w:widowControl/>
              <w:spacing w:line="480" w:lineRule="exact"/>
              <w:jc w:val="both"/>
              <w:rPr>
                <w:rFonts w:ascii="宋体" w:hAnsi="宋体"/>
                <w:color w:val="auto"/>
                <w:szCs w:val="24"/>
                <w:highlight w:val="none"/>
              </w:rPr>
            </w:pPr>
            <w:r>
              <w:rPr>
                <w:rFonts w:hint="eastAsia" w:ascii="宋体" w:hAnsi="宋体"/>
                <w:color w:val="auto"/>
                <w:szCs w:val="24"/>
                <w:highlight w:val="none"/>
              </w:rPr>
              <w:t>单位地址：</w:t>
            </w:r>
          </w:p>
          <w:p w14:paraId="56B178BA">
            <w:pPr>
              <w:pStyle w:val="6"/>
              <w:widowControl/>
              <w:spacing w:line="480" w:lineRule="exact"/>
              <w:jc w:val="both"/>
              <w:rPr>
                <w:rFonts w:ascii="宋体" w:hAnsi="宋体"/>
                <w:color w:val="auto"/>
                <w:szCs w:val="24"/>
                <w:highlight w:val="none"/>
              </w:rPr>
            </w:pPr>
            <w:r>
              <w:rPr>
                <w:rFonts w:hint="eastAsia" w:ascii="宋体" w:hAnsi="宋体"/>
                <w:color w:val="auto"/>
                <w:szCs w:val="24"/>
                <w:highlight w:val="none"/>
              </w:rPr>
              <w:t>联系人：</w:t>
            </w:r>
          </w:p>
          <w:p w14:paraId="7DE3F99D">
            <w:pPr>
              <w:pStyle w:val="6"/>
              <w:widowControl/>
              <w:spacing w:line="480" w:lineRule="exact"/>
              <w:jc w:val="both"/>
              <w:rPr>
                <w:rFonts w:ascii="宋体" w:hAnsi="宋体"/>
                <w:color w:val="auto"/>
                <w:szCs w:val="24"/>
                <w:highlight w:val="none"/>
              </w:rPr>
            </w:pPr>
            <w:r>
              <w:rPr>
                <w:rFonts w:hint="eastAsia" w:ascii="宋体" w:hAnsi="宋体"/>
                <w:color w:val="auto"/>
                <w:szCs w:val="24"/>
                <w:highlight w:val="none"/>
              </w:rPr>
              <w:t>联系电话：</w:t>
            </w:r>
          </w:p>
          <w:p w14:paraId="3B5B2CF9">
            <w:pPr>
              <w:pStyle w:val="6"/>
              <w:widowControl/>
              <w:spacing w:line="480" w:lineRule="exact"/>
              <w:jc w:val="both"/>
              <w:rPr>
                <w:rFonts w:ascii="宋体" w:hAnsi="宋体"/>
                <w:color w:val="auto"/>
                <w:szCs w:val="24"/>
                <w:highlight w:val="none"/>
              </w:rPr>
            </w:pPr>
            <w:r>
              <w:rPr>
                <w:rFonts w:hint="eastAsia" w:ascii="宋体" w:hAnsi="宋体"/>
                <w:color w:val="auto"/>
                <w:szCs w:val="24"/>
                <w:highlight w:val="none"/>
              </w:rPr>
              <w:t>开户银行：</w:t>
            </w:r>
          </w:p>
          <w:p w14:paraId="37C69062">
            <w:pPr>
              <w:pStyle w:val="6"/>
              <w:widowControl/>
              <w:spacing w:line="480" w:lineRule="exact"/>
              <w:jc w:val="both"/>
              <w:rPr>
                <w:rFonts w:ascii="宋体" w:hAnsi="宋体"/>
                <w:color w:val="auto"/>
                <w:szCs w:val="24"/>
                <w:highlight w:val="none"/>
              </w:rPr>
            </w:pPr>
            <w:r>
              <w:rPr>
                <w:rFonts w:hint="eastAsia" w:ascii="宋体" w:hAnsi="宋体"/>
                <w:color w:val="auto"/>
                <w:szCs w:val="24"/>
                <w:highlight w:val="none"/>
              </w:rPr>
              <w:t>银行帐号：</w:t>
            </w:r>
          </w:p>
          <w:p w14:paraId="3F4EB6D0">
            <w:pPr>
              <w:pStyle w:val="6"/>
              <w:widowControl/>
              <w:spacing w:line="480" w:lineRule="exact"/>
              <w:jc w:val="both"/>
              <w:rPr>
                <w:rFonts w:ascii="宋体" w:hAnsi="宋体"/>
                <w:color w:val="auto"/>
                <w:szCs w:val="24"/>
                <w:highlight w:val="none"/>
              </w:rPr>
            </w:pPr>
            <w:r>
              <w:rPr>
                <w:rFonts w:hint="eastAsia" w:ascii="宋体" w:hAnsi="宋体"/>
                <w:color w:val="auto"/>
                <w:szCs w:val="24"/>
                <w:highlight w:val="none"/>
              </w:rPr>
              <w:t>签订日期：2026年   月   日</w:t>
            </w:r>
          </w:p>
        </w:tc>
      </w:tr>
    </w:tbl>
    <w:p w14:paraId="5CD172AA">
      <w:pPr>
        <w:spacing w:line="560" w:lineRule="exact"/>
        <w:ind w:firstLine="420" w:firstLineChars="200"/>
        <w:rPr>
          <w:color w:val="auto"/>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altName w:val="黑体"/>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009D3840"/>
    <w:rsid w:val="00070F44"/>
    <w:rsid w:val="0018031A"/>
    <w:rsid w:val="009D3840"/>
    <w:rsid w:val="00B07E19"/>
    <w:rsid w:val="00D22481"/>
    <w:rsid w:val="01091F26"/>
    <w:rsid w:val="029C1412"/>
    <w:rsid w:val="047E2BDC"/>
    <w:rsid w:val="04AD7ABA"/>
    <w:rsid w:val="060C64A3"/>
    <w:rsid w:val="07554228"/>
    <w:rsid w:val="088B0AD2"/>
    <w:rsid w:val="08B82EF3"/>
    <w:rsid w:val="0B060E63"/>
    <w:rsid w:val="0CA43C19"/>
    <w:rsid w:val="0E6810FB"/>
    <w:rsid w:val="14B37887"/>
    <w:rsid w:val="15EE2D41"/>
    <w:rsid w:val="1A9B4D19"/>
    <w:rsid w:val="1E8D5F3B"/>
    <w:rsid w:val="20045859"/>
    <w:rsid w:val="22983D97"/>
    <w:rsid w:val="22AF0896"/>
    <w:rsid w:val="22FB2867"/>
    <w:rsid w:val="22FE48A1"/>
    <w:rsid w:val="23002CC8"/>
    <w:rsid w:val="29450034"/>
    <w:rsid w:val="29E259F5"/>
    <w:rsid w:val="2CF40789"/>
    <w:rsid w:val="2D23061C"/>
    <w:rsid w:val="2DB155D6"/>
    <w:rsid w:val="2F193C67"/>
    <w:rsid w:val="30332969"/>
    <w:rsid w:val="305425A9"/>
    <w:rsid w:val="32F94991"/>
    <w:rsid w:val="34651AF2"/>
    <w:rsid w:val="34FC549D"/>
    <w:rsid w:val="366E3E9D"/>
    <w:rsid w:val="3A102E54"/>
    <w:rsid w:val="3B6E0E98"/>
    <w:rsid w:val="3DF24001"/>
    <w:rsid w:val="435720D9"/>
    <w:rsid w:val="459B04FB"/>
    <w:rsid w:val="46784A78"/>
    <w:rsid w:val="475F17EC"/>
    <w:rsid w:val="4D6132AA"/>
    <w:rsid w:val="4E0B7D9B"/>
    <w:rsid w:val="50CA2930"/>
    <w:rsid w:val="51F233A7"/>
    <w:rsid w:val="57BB08A7"/>
    <w:rsid w:val="58907E91"/>
    <w:rsid w:val="58DF3ACC"/>
    <w:rsid w:val="59C3741A"/>
    <w:rsid w:val="5B1E7567"/>
    <w:rsid w:val="5C440896"/>
    <w:rsid w:val="5E496E33"/>
    <w:rsid w:val="623C6124"/>
    <w:rsid w:val="68FC4253"/>
    <w:rsid w:val="690A53D6"/>
    <w:rsid w:val="6AF83D38"/>
    <w:rsid w:val="6C476CA0"/>
    <w:rsid w:val="6E4E7318"/>
    <w:rsid w:val="7312139A"/>
    <w:rsid w:val="773B10EA"/>
    <w:rsid w:val="78571E88"/>
    <w:rsid w:val="78F637DD"/>
    <w:rsid w:val="7B864284"/>
    <w:rsid w:val="7B9C2A4D"/>
    <w:rsid w:val="7BBB198C"/>
    <w:rsid w:val="7CA10B3D"/>
    <w:rsid w:val="7DCC55D8"/>
    <w:rsid w:val="7E342B22"/>
    <w:rsid w:val="7EC62364"/>
    <w:rsid w:val="7EF377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13"/>
    <w:qFormat/>
    <w:uiPriority w:val="0"/>
    <w:pPr>
      <w:keepNext/>
      <w:jc w:val="center"/>
      <w:outlineLvl w:val="0"/>
    </w:pPr>
    <w:rPr>
      <w:rFonts w:ascii="黑体" w:eastAsia="黑体"/>
      <w:sz w:val="28"/>
    </w:rPr>
  </w:style>
  <w:style w:type="paragraph" w:styleId="3">
    <w:name w:val="heading 2"/>
    <w:basedOn w:val="1"/>
    <w:next w:val="1"/>
    <w:qFormat/>
    <w:uiPriority w:val="0"/>
    <w:pPr>
      <w:keepNext/>
      <w:spacing w:line="720" w:lineRule="exact"/>
      <w:outlineLvl w:val="1"/>
    </w:pPr>
    <w:rPr>
      <w:rFonts w:ascii="黑体" w:hAnsi="黑体" w:eastAsia="楷体_GB2312"/>
      <w:sz w:val="28"/>
    </w:rPr>
  </w:style>
  <w:style w:type="paragraph" w:styleId="4">
    <w:name w:val="heading 3"/>
    <w:basedOn w:val="1"/>
    <w:next w:val="1"/>
    <w:semiHidden/>
    <w:unhideWhenUsed/>
    <w:qFormat/>
    <w:uiPriority w:val="0"/>
    <w:pPr>
      <w:spacing w:beforeAutospacing="1" w:afterAutospacing="1"/>
      <w:jc w:val="left"/>
      <w:outlineLvl w:val="2"/>
    </w:pPr>
    <w:rPr>
      <w:rFonts w:hint="eastAsia" w:ascii="宋体" w:hAnsi="宋体"/>
      <w:b/>
      <w:bCs/>
      <w:kern w:val="0"/>
      <w:sz w:val="27"/>
      <w:szCs w:val="27"/>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next w:val="1"/>
    <w:qFormat/>
    <w:uiPriority w:val="0"/>
    <w:pPr>
      <w:jc w:val="center"/>
    </w:pPr>
  </w:style>
  <w:style w:type="paragraph" w:styleId="7">
    <w:name w:val="footer"/>
    <w:basedOn w:val="1"/>
    <w:qFormat/>
    <w:uiPriority w:val="0"/>
    <w:pPr>
      <w:tabs>
        <w:tab w:val="center" w:pos="4153"/>
        <w:tab w:val="right" w:pos="8306"/>
      </w:tabs>
      <w:snapToGrid w:val="0"/>
      <w:jc w:val="left"/>
    </w:pPr>
    <w:rPr>
      <w:sz w:val="18"/>
    </w:rPr>
  </w:style>
  <w:style w:type="paragraph" w:styleId="8">
    <w:name w:val="Normal (Web)"/>
    <w:basedOn w:val="1"/>
    <w:semiHidden/>
    <w:unhideWhenUsed/>
    <w:qFormat/>
    <w:uiPriority w:val="99"/>
    <w:pPr>
      <w:spacing w:beforeAutospacing="1" w:afterAutospacing="1"/>
      <w:jc w:val="left"/>
    </w:pPr>
    <w:rPr>
      <w:kern w:val="0"/>
      <w:sz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正文1"/>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character" w:customStyle="1" w:styleId="13">
    <w:name w:val="标题 1 Char"/>
    <w:link w:val="2"/>
    <w:qFormat/>
    <w:uiPriority w:val="0"/>
    <w:rPr>
      <w:rFonts w:ascii="黑体" w:eastAsia="黑体"/>
      <w:sz w:val="28"/>
    </w:rPr>
  </w:style>
  <w:style w:type="paragraph" w:customStyle="1" w:styleId="14">
    <w:name w:val="p0"/>
    <w:basedOn w:val="1"/>
    <w:qFormat/>
    <w:uiPriority w:val="0"/>
    <w:pPr>
      <w:widowControl/>
      <w:jc w:val="left"/>
    </w:pPr>
    <w:rPr>
      <w:rFonts w:ascii="Calibri" w:hAnsi="Calibri"/>
      <w:kern w:val="0"/>
      <w:szCs w:val="21"/>
    </w:rPr>
  </w:style>
  <w:style w:type="paragraph" w:customStyle="1" w:styleId="15">
    <w:name w:val="Default1"/>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6">
    <w:name w:val="null3"/>
    <w:hidden/>
    <w:qFormat/>
    <w:uiPriority w:val="0"/>
    <w:rPr>
      <w:rFonts w:hint="eastAsia" w:asciiTheme="minorHAnsi" w:hAnsiTheme="minorHAnsi" w:eastAsiaTheme="minorEastAsia" w:cstheme="minorBidi"/>
      <w:lang w:val="en-US" w:eastAsia="zh-Hans" w:bidi="ar-SA"/>
    </w:rPr>
  </w:style>
  <w:style w:type="paragraph" w:customStyle="1" w:styleId="17">
    <w:name w:val="Default"/>
    <w:autoRedefine/>
    <w:qFormat/>
    <w:uiPriority w:val="0"/>
    <w:pPr>
      <w:widowControl w:val="0"/>
      <w:autoSpaceDE w:val="0"/>
      <w:autoSpaceDN w:val="0"/>
      <w:adjustRightInd w:val="0"/>
    </w:pPr>
    <w:rPr>
      <w:rFonts w:ascii="Calibri" w:hAnsi="Calibri" w:eastAsia="宋体" w:cs="Calibri"/>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3</Pages>
  <Words>2163</Words>
  <Characters>2205</Characters>
  <Lines>17</Lines>
  <Paragraphs>4</Paragraphs>
  <TotalTime>1</TotalTime>
  <ScaleCrop>false</ScaleCrop>
  <LinksUpToDate>false</LinksUpToDate>
  <CharactersWithSpaces>2346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2026-03-25T01:30:00Z</dcterms:created>
  <dc:creator>hc618</dc:creator>
  <cp:lastModifiedBy>Bella</cp:lastModifiedBy>
  <cp:lastPrinted>2025-07-02T03:20:00Z</cp:lastPrinted>
  <dcterms:modified xsi:type="dcterms:W3CDTF">2026-04-14T07:35:34Z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C45845A802BB459FBF6B5D4ED7F78626_13</vt:lpwstr>
  </property>
  <property fmtid="{D5CDD505-2E9C-101B-9397-08002B2CF9AE}" pid="4" name="KSOTemplateDocerSaveRecord">
    <vt:lpwstr>eyJoZGlkIjoiNDNkZTczOGQ2NDE0NjZiYjUwZGEyODQ3NzdhMDZmZGUiLCJ1c2VySWQiOiI0OTM1MTMxNTEifQ==</vt:lpwstr>
  </property>
</Properties>
</file>