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版本号：ZDGC-ZC-260110920260423003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潼关县金城国有林场2026年中央财政常态化帮扶资金（欠发达国有林场巩固提升任务）连翘产业基地建设项目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ZDGC-ZC-2601109</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潼关县金城国有林场2026年中央财政常态化帮扶资金（欠发达国有林场巩固提升任务）连翘产业基地建设项目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潼关县金城国有林场2026年中央财政常态化帮扶资金（欠发达国有林场巩固提升任务）连翘产业基地建设项目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本项目位于陕西省渭南市潼关县，主要工程内容为在潼关县太要镇太峪国有林区新建500亩林下经济连翘产业基地，种植连翘苗木15万株。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采购包1（潼关县金城国有林场2026年中央财政常态化帮扶资金（欠发达国有林场巩固提升任务）连翘产业基地建设项目）：属于专门面向中小企业采购。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财务报告：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响应文件递交时间不足一年的，也可提供在工商管理部门备案的公司章程）。</w:t>
      </w:r>
    </w:p>
    <w:p>
      <w:pPr>
        <w:pStyle w:val="null3"/>
      </w:pPr>
      <w:r>
        <w:rPr>
          <w:rFonts w:ascii="仿宋_GB2312" w:hAnsi="仿宋_GB2312" w:cs="仿宋_GB2312" w:eastAsia="仿宋_GB2312"/>
        </w:rPr>
        <w:t>3、税收缴纳证明：提供响应文件递交截止时间前六个月内任意一个月的纳税证明或完税证明（以税款所属期为准，依法免税的应提供相关证明材料）。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4、社会保障资金缴纳证明：提供响应文件递交截止时间前六个月内任意一个月的社会保障资金缴存单据或社保机构开具的社会保险参保缴费情况证明（以税款所属期为准，依法免税的应提供相关证明材料）。</w:t>
      </w:r>
    </w:p>
    <w:p>
      <w:pPr>
        <w:pStyle w:val="null3"/>
      </w:pPr>
      <w:r>
        <w:rPr>
          <w:rFonts w:ascii="仿宋_GB2312" w:hAnsi="仿宋_GB2312" w:cs="仿宋_GB2312" w:eastAsia="仿宋_GB2312"/>
        </w:rPr>
        <w:t>5、设备和技术能力承诺：提供具有履行合同所必需的设备和专业技术能力的说明及承诺（格式自拟，加盖供应商公章）。</w:t>
      </w:r>
    </w:p>
    <w:p>
      <w:pPr>
        <w:pStyle w:val="null3"/>
      </w:pPr>
      <w:r>
        <w:rPr>
          <w:rFonts w:ascii="仿宋_GB2312" w:hAnsi="仿宋_GB2312" w:cs="仿宋_GB2312" w:eastAsia="仿宋_GB2312"/>
        </w:rPr>
        <w:t>6、三年无重大声明：提供参加政府采购活动前三年内在经营活动中没有重大违法记录的书面声明（详见附件，加盖供应商公章）。</w:t>
      </w:r>
    </w:p>
    <w:p>
      <w:pPr>
        <w:pStyle w:val="null3"/>
      </w:pPr>
      <w:r>
        <w:rPr>
          <w:rFonts w:ascii="仿宋_GB2312" w:hAnsi="仿宋_GB2312" w:cs="仿宋_GB2312" w:eastAsia="仿宋_GB2312"/>
        </w:rPr>
        <w:t>7、法定代表人授权书：法定代表人授权书（附法人身份证正反面及被授权人身份证正反面），法定代表人直接参加的提供身份证明。</w:t>
      </w:r>
    </w:p>
    <w:p>
      <w:pPr>
        <w:pStyle w:val="null3"/>
      </w:pPr>
      <w:r>
        <w:rPr>
          <w:rFonts w:ascii="仿宋_GB2312" w:hAnsi="仿宋_GB2312" w:cs="仿宋_GB2312" w:eastAsia="仿宋_GB2312"/>
        </w:rPr>
        <w:t>8、企业资质：供应商须具备建筑工程施工总承包或市政公用工程施工总承包三级(含三级)及以上资质，并具有有效的安全生产许可证。</w:t>
      </w:r>
    </w:p>
    <w:p>
      <w:pPr>
        <w:pStyle w:val="null3"/>
      </w:pPr>
      <w:r>
        <w:rPr>
          <w:rFonts w:ascii="仿宋_GB2312" w:hAnsi="仿宋_GB2312" w:cs="仿宋_GB2312" w:eastAsia="仿宋_GB2312"/>
        </w:rPr>
        <w:t>9、项目经理：拟派项目经理须具有建筑工程或市政工程二级及以上注册建造师资格并具有有效的安全生产考核合格证，且无在建工程。</w:t>
      </w:r>
    </w:p>
    <w:p>
      <w:pPr>
        <w:pStyle w:val="null3"/>
      </w:pPr>
      <w:r>
        <w:rPr>
          <w:rFonts w:ascii="仿宋_GB2312" w:hAnsi="仿宋_GB2312" w:cs="仿宋_GB2312" w:eastAsia="仿宋_GB2312"/>
        </w:rPr>
        <w:t>10、保证金：磋商保证金交纳凭证（截图加盖供应商公章）或担保机构出具的保函。</w:t>
      </w:r>
    </w:p>
    <w:p>
      <w:pPr>
        <w:pStyle w:val="null3"/>
      </w:pPr>
      <w:r>
        <w:rPr>
          <w:rFonts w:ascii="仿宋_GB2312" w:hAnsi="仿宋_GB2312" w:cs="仿宋_GB2312" w:eastAsia="仿宋_GB2312"/>
        </w:rPr>
        <w:t>11、信用信息：供应商不得为“信用中国”网站(www.creditchina.gov.cn)中列入失信被执行人和税收违法黑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12、控股及管理关系：单位负责人为同一人或者存在直接控股、管理关系的不同供应商，不得参加同一合同项下的政府采购活动（格式自拟，加盖供应商公章）。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18329301311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采购包1：1,448,629.51元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开户名称：陕西中达国创项目管理有限公司</w:t>
            </w:r>
          </w:p>
          <w:p>
            <w:pPr>
              <w:pStyle w:val="null3"/>
            </w:pPr>
            <w:r>
              <w:rPr>
                <w:rFonts w:ascii="仿宋_GB2312" w:hAnsi="仿宋_GB2312" w:cs="仿宋_GB2312" w:eastAsia="仿宋_GB2312"/>
              </w:rPr>
              <w:t>开户银行：中国农业银行股份有限公司西安南二环支行</w:t>
            </w:r>
          </w:p>
          <w:p>
            <w:pPr>
              <w:pStyle w:val="null3"/>
            </w:pPr>
            <w:r>
              <w:rPr>
                <w:rFonts w:ascii="仿宋_GB2312" w:hAnsi="仿宋_GB2312" w:cs="仿宋_GB2312" w:eastAsia="仿宋_GB2312"/>
              </w:rPr>
              <w:t>银行账号：26126701040022149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收取招标代理服务费。该费用由中标人在领取中标（成交）通知书之前向招标代理机构一次性缴纳。 缴纳账户户名：陕西中达国创项目管理有限公司 开户行：中国农业银行股份有限公司西安南二环支行 账号：26126701040022149 转账备注：项目名称+招标代理服务费 重要提示：代理服务费必须从基本帐户转出</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地址：陕西省西安市雁塔区朱雀大街南段15号明德盛荟2号楼616室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1,448,629.51</w:t>
      </w:r>
    </w:p>
    <w:p>
      <w:pPr>
        <w:pStyle w:val="null3"/>
      </w:pPr>
      <w:r>
        <w:rPr>
          <w:rFonts w:ascii="仿宋_GB2312" w:hAnsi="仿宋_GB2312" w:cs="仿宋_GB2312" w:eastAsia="仿宋_GB2312"/>
        </w:rPr>
        <w:t>采购包最高限价（元）: 1,448,627.66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潼关县金城国有林场2026年中央财政常态化帮扶资金（欠发达国有林场巩固提升任务）连翘产业基地建设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1,448,629.51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标的名称：潼关县金城国有林场2026年中央财政常态化帮扶资金（欠发达国有林场巩固提升任务）连翘产业基地建设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一、项目基本情况</w:t>
            </w:r>
          </w:p>
          <w:p>
            <w:pPr>
              <w:pStyle w:val="null3"/>
              <w:jc w:val="both"/>
            </w:pPr>
            <w:r>
              <w:rPr>
                <w:rFonts w:ascii="仿宋_GB2312" w:hAnsi="仿宋_GB2312" w:cs="仿宋_GB2312" w:eastAsia="仿宋_GB2312"/>
                <w:sz w:val="21"/>
              </w:rPr>
              <w:t>（一）项目名称</w:t>
            </w:r>
          </w:p>
          <w:p>
            <w:pPr>
              <w:pStyle w:val="null3"/>
              <w:jc w:val="both"/>
            </w:pPr>
            <w:r>
              <w:rPr>
                <w:rFonts w:ascii="仿宋_GB2312" w:hAnsi="仿宋_GB2312" w:cs="仿宋_GB2312" w:eastAsia="仿宋_GB2312"/>
                <w:sz w:val="21"/>
              </w:rPr>
              <w:t>潼关县金城国有林场2026年中央财政常态化帮扶资金（欠发达国有林场巩固提升任务）连翘产业基地建设项目</w:t>
            </w:r>
          </w:p>
          <w:p>
            <w:pPr>
              <w:pStyle w:val="null3"/>
              <w:jc w:val="both"/>
            </w:pPr>
            <w:r>
              <w:rPr>
                <w:rFonts w:ascii="仿宋_GB2312" w:hAnsi="仿宋_GB2312" w:cs="仿宋_GB2312" w:eastAsia="仿宋_GB2312"/>
                <w:sz w:val="21"/>
              </w:rPr>
              <w:t>（二）项目实施单位及项目负责人</w:t>
            </w:r>
          </w:p>
          <w:p>
            <w:pPr>
              <w:pStyle w:val="null3"/>
              <w:jc w:val="both"/>
            </w:pPr>
            <w:r>
              <w:rPr>
                <w:rFonts w:ascii="仿宋_GB2312" w:hAnsi="仿宋_GB2312" w:cs="仿宋_GB2312" w:eastAsia="仿宋_GB2312"/>
                <w:sz w:val="21"/>
              </w:rPr>
              <w:t>渭南市潼关县金城国有林场  候勃</w:t>
            </w:r>
          </w:p>
          <w:p>
            <w:pPr>
              <w:pStyle w:val="null3"/>
              <w:jc w:val="both"/>
            </w:pPr>
            <w:r>
              <w:rPr>
                <w:rFonts w:ascii="仿宋_GB2312" w:hAnsi="仿宋_GB2312" w:cs="仿宋_GB2312" w:eastAsia="仿宋_GB2312"/>
                <w:sz w:val="21"/>
              </w:rPr>
              <w:t>（三）项目实施地点</w:t>
            </w:r>
          </w:p>
          <w:p>
            <w:pPr>
              <w:pStyle w:val="null3"/>
              <w:jc w:val="both"/>
            </w:pPr>
            <w:r>
              <w:rPr>
                <w:rFonts w:ascii="仿宋_GB2312" w:hAnsi="仿宋_GB2312" w:cs="仿宋_GB2312" w:eastAsia="仿宋_GB2312"/>
                <w:sz w:val="21"/>
              </w:rPr>
              <w:t>潼关县太要镇太峪高西沟</w:t>
            </w:r>
          </w:p>
          <w:p>
            <w:pPr>
              <w:pStyle w:val="null3"/>
              <w:jc w:val="both"/>
            </w:pPr>
            <w:r>
              <w:rPr>
                <w:rFonts w:ascii="仿宋_GB2312" w:hAnsi="仿宋_GB2312" w:cs="仿宋_GB2312" w:eastAsia="仿宋_GB2312"/>
                <w:sz w:val="21"/>
              </w:rPr>
              <w:t>（四）项目实施期限</w:t>
            </w:r>
          </w:p>
          <w:p>
            <w:pPr>
              <w:pStyle w:val="null3"/>
              <w:jc w:val="both"/>
            </w:pPr>
            <w:r>
              <w:rPr>
                <w:rFonts w:ascii="仿宋_GB2312" w:hAnsi="仿宋_GB2312" w:cs="仿宋_GB2312" w:eastAsia="仿宋_GB2312"/>
                <w:sz w:val="21"/>
              </w:rPr>
              <w:t>自合同签订后至2026年12月31日前（估算210天）完成项目所有内容。</w:t>
            </w:r>
          </w:p>
          <w:p>
            <w:pPr>
              <w:pStyle w:val="null3"/>
              <w:jc w:val="both"/>
            </w:pPr>
            <w:r>
              <w:rPr>
                <w:rFonts w:ascii="仿宋_GB2312" w:hAnsi="仿宋_GB2312" w:cs="仿宋_GB2312" w:eastAsia="仿宋_GB2312"/>
                <w:sz w:val="21"/>
              </w:rPr>
              <w:t>（五）项目建设内容及规模</w:t>
            </w:r>
          </w:p>
          <w:p>
            <w:pPr>
              <w:pStyle w:val="null3"/>
              <w:jc w:val="both"/>
            </w:pPr>
            <w:r>
              <w:rPr>
                <w:rFonts w:ascii="仿宋_GB2312" w:hAnsi="仿宋_GB2312" w:cs="仿宋_GB2312" w:eastAsia="仿宋_GB2312"/>
                <w:sz w:val="21"/>
              </w:rPr>
              <w:t>在潼关县太要镇太峪国有林区新建500亩林下经济连翘产业基地，种植连翘苗木15万株。</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二、项目建设条件</w:t>
            </w:r>
          </w:p>
          <w:p>
            <w:pPr>
              <w:pStyle w:val="null3"/>
              <w:jc w:val="both"/>
            </w:pPr>
            <w:r>
              <w:rPr>
                <w:rFonts w:ascii="仿宋_GB2312" w:hAnsi="仿宋_GB2312" w:cs="仿宋_GB2312" w:eastAsia="仿宋_GB2312"/>
                <w:sz w:val="21"/>
              </w:rPr>
              <w:t>（一）项目建设地点范围</w:t>
            </w:r>
          </w:p>
          <w:p>
            <w:pPr>
              <w:pStyle w:val="null3"/>
              <w:jc w:val="both"/>
            </w:pPr>
            <w:r>
              <w:rPr>
                <w:rFonts w:ascii="仿宋_GB2312" w:hAnsi="仿宋_GB2312" w:cs="仿宋_GB2312" w:eastAsia="仿宋_GB2312"/>
                <w:sz w:val="21"/>
              </w:rPr>
              <w:t xml:space="preserve">  潼关县金城国有林场是全县唯一的国有林场，林场作业区位于潼关县境秦岭南端，秦岭北麓深山区全部为林场作业区。林场下设7个管护站，位于西潼峪、蒿岔峪、麻峪、太峪、善车峪、东桐峪、西峪7大峪道。太要镇太峪、城关街道办西潼峪自然野生连翘资源丰富，适合于栽植连翘，发展林下经济产业。</w:t>
            </w:r>
          </w:p>
          <w:p>
            <w:pPr>
              <w:pStyle w:val="null3"/>
              <w:jc w:val="both"/>
            </w:pPr>
            <w:r>
              <w:rPr>
                <w:rFonts w:ascii="仿宋_GB2312" w:hAnsi="仿宋_GB2312" w:cs="仿宋_GB2312" w:eastAsia="仿宋_GB2312"/>
                <w:sz w:val="21"/>
              </w:rPr>
              <w:t>（二）项目区自然条件</w:t>
            </w:r>
          </w:p>
          <w:p>
            <w:pPr>
              <w:pStyle w:val="null3"/>
              <w:jc w:val="both"/>
            </w:pPr>
            <w:r>
              <w:rPr>
                <w:rFonts w:ascii="仿宋_GB2312" w:hAnsi="仿宋_GB2312" w:cs="仿宋_GB2312" w:eastAsia="仿宋_GB2312"/>
                <w:sz w:val="21"/>
              </w:rPr>
              <w:t xml:space="preserve">  潼关县地处陕西省关中平原东端，居秦、晋、豫三省交界处。东接河南省灵宝县，西连本省华阴市，南依秦岭与本省洛南县为邻，北濒黄河、渭河同本省大荔县及山西省芮城县隔水相望。南北长28.4公里，东西宽约24.6公里，总面积42679.5公顷。全县由南向北分为秦岭山地、黄土残塬沟壑和黄、渭河谷三种地貌类型。全县属黄河流域。黄河的一级支流渭河由西向东，在本县注入黄河。发源于南部秦岭北坡的7条峪河，由南向北注入黄河、渭河。地下水在黄河沿岸地区为0.5～10米，近山地区为30～120米，广大塬面为150～200米，难以利用。</w:t>
            </w:r>
          </w:p>
          <w:p>
            <w:pPr>
              <w:pStyle w:val="null3"/>
            </w:pPr>
            <w:r>
              <w:rPr>
                <w:rFonts w:ascii="仿宋_GB2312" w:hAnsi="仿宋_GB2312" w:cs="仿宋_GB2312" w:eastAsia="仿宋_GB2312"/>
                <w:sz w:val="21"/>
              </w:rPr>
              <w:t xml:space="preserve">  潼关县属暖温带大陆性雨热同季的季风型干旱气候。四季分明，冬夏长，春秋短。南北差异大，光能资源较充足，热量和降水量偏少，时空分布不均。年均日照时数2269小时，年蒸发量1193.6毫米。潼关县的土壤共有7个土类，11个亚类，17个土属，35个土种。南部秦岭山地，高山为棕壤性石渣土，海拔1400米以下至山口为褐土性石渣土，占全县总面积36.5%，西南角一小部分为玢岩、玄武岩、细碧岩、凝灰质砂岩组成，占总面积3.3%，山前洪积扇地区为梯地洪淤土，土层较薄，占14.6%；中部原区，东中部为黄土，占20.0%；西部为黄土状亚粘土、亚砂土、砂砾岩，占11.3%；黄渭一级阶地为近代冲积层、砂砾石、漂砾石、亚砂及亚粘土组成，俗称黄棉土，西部有少量沼泽、盐渍土，占2.8%；黄河水域占2.6%；渭河水域占0.6%；黄、渭、洛三角洲占8.3%。</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三、技术措施</w:t>
            </w:r>
          </w:p>
          <w:p>
            <w:pPr>
              <w:pStyle w:val="null3"/>
              <w:jc w:val="both"/>
            </w:pPr>
            <w:r>
              <w:rPr>
                <w:rFonts w:ascii="仿宋_GB2312" w:hAnsi="仿宋_GB2312" w:cs="仿宋_GB2312" w:eastAsia="仿宋_GB2312"/>
                <w:sz w:val="21"/>
              </w:rPr>
              <w:t xml:space="preserve">  （一）栽植。冬季落叶后到早春萌芽前均可进行定植，以雨季为好，春分后，气温回升，定植后亦可栽植。宜选阴天定植，先在选好的定植地块上，按行株距2mx1.5m挖穴，定植时要将长、短花柱的植株相间种植。然后，每穴栽苗1株，分层填土踩实，使其根系舒展。栽后浇水。每亩栽100~500株。采用人工栽植方式。</w:t>
            </w:r>
          </w:p>
          <w:p>
            <w:pPr>
              <w:pStyle w:val="null3"/>
              <w:jc w:val="both"/>
            </w:pPr>
            <w:r>
              <w:rPr>
                <w:rFonts w:ascii="仿宋_GB2312" w:hAnsi="仿宋_GB2312" w:cs="仿宋_GB2312" w:eastAsia="仿宋_GB2312"/>
                <w:sz w:val="21"/>
              </w:rPr>
              <w:t xml:space="preserve">  （二）管理技术</w:t>
            </w:r>
          </w:p>
          <w:p>
            <w:pPr>
              <w:pStyle w:val="null3"/>
              <w:jc w:val="both"/>
            </w:pPr>
            <w:r>
              <w:rPr>
                <w:rFonts w:ascii="仿宋_GB2312" w:hAnsi="仿宋_GB2312" w:cs="仿宋_GB2312" w:eastAsia="仿宋_GB2312"/>
                <w:sz w:val="21"/>
              </w:rPr>
              <w:t xml:space="preserve">  1.施肥。定植后，每亩施硫酸铵10~15kg，以促进茎、叶生长。每年冬季结合松土除草施入腐熟厩肥、饼肥或土杂肥，幼树每株用量2kg，结果树每株10kg，采用在连翘株旁挖穴或开沟施入，施后覆土，壅根培土，以促进幼树生长健壮，多开花结果。有条件的地方，春季开花前可增加施肥1次。在连翘树修剪后，每株施入火土灰2kg、过磷酸钙200g、饼肥250g、尿素100g。于树冠下开环状沟施入，施后盖土、培土保墒。</w:t>
            </w:r>
          </w:p>
          <w:p>
            <w:pPr>
              <w:pStyle w:val="null3"/>
              <w:jc w:val="both"/>
            </w:pPr>
            <w:r>
              <w:rPr>
                <w:rFonts w:ascii="仿宋_GB2312" w:hAnsi="仿宋_GB2312" w:cs="仿宋_GB2312" w:eastAsia="仿宋_GB2312"/>
                <w:sz w:val="21"/>
              </w:rPr>
              <w:t xml:space="preserve">  2.整形修剪。连翘每年春、夏、秋抽生三次新梢，而且生长速度快。春梢营养枝能生长150cm，夏梢营养枝生长60~80cm，秋梢营养枝生长近20cm。因此，连翘定植后2~3年，要进行整形修剪，采用短剪、疏剪、缩剪，用以处理主干或枝条，改善通风透光条件，调节养分和水分运输，减少病虫危害，提高开花量和坐果率。</w:t>
            </w:r>
          </w:p>
          <w:p>
            <w:pPr>
              <w:pStyle w:val="null3"/>
              <w:jc w:val="both"/>
            </w:pPr>
            <w:r>
              <w:rPr>
                <w:rFonts w:ascii="仿宋_GB2312" w:hAnsi="仿宋_GB2312" w:cs="仿宋_GB2312" w:eastAsia="仿宋_GB2312"/>
                <w:sz w:val="21"/>
              </w:rPr>
              <w:t xml:space="preserve">  3.采摘。青翘在果皮呈青色尚未老熟时采摘。老翘在果实熟透变黄，果壳开裂或将要开裂时采摘。研究表明：野生老树开花、坐果、果实成熟均早于人工栽培小树，因此，生产上优先采收连翘果实；连翘果实7月底干果重达到峰值，7月底至9月底干果重和连翘苷含量变化均较小，连翘苷含量均能达到药典标准，考虑到连翘大规模生产时采摘周期较长，所以7月底至9月底是青翘的最佳采收期；9月底之后，青翘逐渐成熟成为老翘，此时果实的干果重和连翘苷含量都急剧下降，所以老翘应在青翘转入老翘初时及时采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shd w:fill="FFFFFF" w:val="clear"/>
              </w:rPr>
              <w:t>四、商务要求</w:t>
            </w:r>
          </w:p>
          <w:p>
            <w:pPr>
              <w:pStyle w:val="null3"/>
              <w:jc w:val="both"/>
            </w:pPr>
            <w:r>
              <w:rPr>
                <w:rFonts w:ascii="仿宋_GB2312" w:hAnsi="仿宋_GB2312" w:cs="仿宋_GB2312" w:eastAsia="仿宋_GB2312"/>
                <w:sz w:val="21"/>
                <w:shd w:fill="FFFFFF" w:val="clear"/>
              </w:rPr>
              <w:t>（一）工期：自合同签订后至2026年12月31日前（估算210天）完成项目所有内容。</w:t>
            </w:r>
          </w:p>
          <w:p>
            <w:pPr>
              <w:pStyle w:val="null3"/>
              <w:jc w:val="both"/>
            </w:pPr>
            <w:r>
              <w:rPr>
                <w:rFonts w:ascii="仿宋_GB2312" w:hAnsi="仿宋_GB2312" w:cs="仿宋_GB2312" w:eastAsia="仿宋_GB2312"/>
                <w:sz w:val="21"/>
                <w:shd w:fill="FFFFFF" w:val="clear"/>
              </w:rPr>
              <w:t>（二）施工地点：潼关县太要镇太峪高西沟</w:t>
            </w:r>
          </w:p>
          <w:p>
            <w:pPr>
              <w:pStyle w:val="null3"/>
              <w:jc w:val="both"/>
            </w:pPr>
            <w:r>
              <w:rPr>
                <w:rFonts w:ascii="仿宋_GB2312" w:hAnsi="仿宋_GB2312" w:cs="仿宋_GB2312" w:eastAsia="仿宋_GB2312"/>
                <w:sz w:val="21"/>
                <w:shd w:fill="FFFFFF" w:val="clear"/>
              </w:rPr>
              <w:t>（三）</w:t>
            </w:r>
            <w:r>
              <w:rPr>
                <w:rFonts w:ascii="仿宋_GB2312" w:hAnsi="仿宋_GB2312" w:cs="仿宋_GB2312" w:eastAsia="仿宋_GB2312"/>
                <w:sz w:val="21"/>
                <w:shd w:fill="FFFFFF" w:val="clear"/>
              </w:rPr>
              <w:t>工程质量标准</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合格，达到国家相关技术标准</w:t>
            </w:r>
          </w:p>
          <w:p>
            <w:pPr>
              <w:pStyle w:val="null3"/>
              <w:jc w:val="both"/>
            </w:pPr>
            <w:r>
              <w:rPr>
                <w:rFonts w:ascii="仿宋_GB2312" w:hAnsi="仿宋_GB2312" w:cs="仿宋_GB2312" w:eastAsia="仿宋_GB2312"/>
                <w:sz w:val="21"/>
                <w:shd w:fill="FFFFFF" w:val="clear"/>
              </w:rPr>
              <w:t>（四）质量保修期：一年</w:t>
            </w:r>
          </w:p>
          <w:p>
            <w:pPr>
              <w:pStyle w:val="null3"/>
              <w:jc w:val="both"/>
            </w:pPr>
            <w:r>
              <w:rPr>
                <w:rFonts w:ascii="仿宋_GB2312" w:hAnsi="仿宋_GB2312" w:cs="仿宋_GB2312" w:eastAsia="仿宋_GB2312"/>
                <w:sz w:val="21"/>
                <w:shd w:fill="FFFFFF" w:val="clear"/>
              </w:rPr>
              <w:t>（五）</w:t>
            </w:r>
            <w:r>
              <w:rPr>
                <w:rFonts w:ascii="仿宋_GB2312" w:hAnsi="仿宋_GB2312" w:cs="仿宋_GB2312" w:eastAsia="仿宋_GB2312"/>
                <w:sz w:val="21"/>
                <w:shd w:fill="FFFFFF" w:val="clear"/>
              </w:rPr>
              <w:t>付款方式</w:t>
            </w:r>
            <w:r>
              <w:rPr>
                <w:rFonts w:ascii="仿宋_GB2312" w:hAnsi="仿宋_GB2312" w:cs="仿宋_GB2312" w:eastAsia="仿宋_GB2312"/>
                <w:sz w:val="21"/>
                <w:shd w:fill="FFFFFF" w:val="clear"/>
              </w:rPr>
              <w:t>：</w:t>
            </w:r>
          </w:p>
          <w:p>
            <w:pPr>
              <w:pStyle w:val="null3"/>
              <w:jc w:val="both"/>
            </w:pPr>
            <w:r>
              <w:rPr>
                <w:rFonts w:ascii="仿宋_GB2312" w:hAnsi="仿宋_GB2312" w:cs="仿宋_GB2312" w:eastAsia="仿宋_GB2312"/>
                <w:sz w:val="21"/>
                <w:shd w:fill="FFFFFF" w:val="clear"/>
              </w:rPr>
              <w:t xml:space="preserve"> 1.付款条件说明：合同签订后，达到付款条件起10日内，支付合同总金额的30.00%。</w:t>
            </w:r>
          </w:p>
          <w:p>
            <w:pPr>
              <w:pStyle w:val="null3"/>
              <w:jc w:val="both"/>
            </w:pPr>
            <w:r>
              <w:rPr>
                <w:rFonts w:ascii="仿宋_GB2312" w:hAnsi="仿宋_GB2312" w:cs="仿宋_GB2312" w:eastAsia="仿宋_GB2312"/>
                <w:sz w:val="21"/>
                <w:shd w:fill="FFFFFF" w:val="clear"/>
              </w:rPr>
              <w:t xml:space="preserve"> 2.付款条件说明：工程完工后，达到付款条件起10日内，支付合同总金额的60.00%。</w:t>
            </w:r>
          </w:p>
          <w:p>
            <w:pPr>
              <w:pStyle w:val="null3"/>
              <w:jc w:val="both"/>
            </w:pPr>
            <w:r>
              <w:rPr>
                <w:rFonts w:ascii="仿宋_GB2312" w:hAnsi="仿宋_GB2312" w:cs="仿宋_GB2312" w:eastAsia="仿宋_GB2312"/>
                <w:sz w:val="21"/>
                <w:shd w:fill="FFFFFF" w:val="clear"/>
              </w:rPr>
              <w:t xml:space="preserve"> 3.付款条件说明：竣工验收并经结算审计后，达到付款条件起10日内，支付合同总金额的7.00%。</w:t>
            </w:r>
          </w:p>
          <w:p>
            <w:pPr>
              <w:pStyle w:val="null3"/>
              <w:jc w:val="both"/>
            </w:pPr>
            <w:r>
              <w:rPr>
                <w:rFonts w:ascii="仿宋_GB2312" w:hAnsi="仿宋_GB2312" w:cs="仿宋_GB2312" w:eastAsia="仿宋_GB2312"/>
                <w:sz w:val="21"/>
                <w:shd w:fill="FFFFFF" w:val="clear"/>
              </w:rPr>
              <w:t xml:space="preserve"> 4.付款条件说明：留3%作为工程质量保证金，从验收合格之日起一年后，如无质量等问题，一周内结清，达到付款条件起7日内，支付合同总金额的3.00%。</w:t>
            </w:r>
          </w:p>
          <w:p>
            <w:pPr>
              <w:pStyle w:val="null3"/>
              <w:jc w:val="both"/>
            </w:pPr>
            <w:r>
              <w:rPr>
                <w:rFonts w:ascii="仿宋_GB2312" w:hAnsi="仿宋_GB2312" w:cs="仿宋_GB2312" w:eastAsia="仿宋_GB2312"/>
                <w:sz w:val="21"/>
                <w:b/>
                <w:shd w:fill="FFFFFF" w:val="clear"/>
              </w:rPr>
              <w:t>注：商务要求为实质性响应内容，不允许出现任何负偏离。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工程质量标准：合格，达到国家相关技术标准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满足磋商文件及工程量清单要求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1.成交人在与采购人签订合同前，向采购人提供以成交价为总的纸质版工程量清单（签字盖章、一式两份），广联达版本工程量清单（电子U盘、两份）。 2.中标/成交供应商在中标/成交结果发布后3个工作日内，需提交与电子化平台提交内容一致的签字盖章后的纸质版投标文件，正本壹份、副本壹份，纸质投标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一般资格要求及特殊资格要求.docx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或2025年度经审计的财务报告（包含审计报告和审计报告中所涉及的财务报表和报表附注）；或提供2024年度或2025年度完整的全套财务报表（应当包括资产负债表、利润表、现金流量表、所有者权益变动表、附注）；或响应文件递交截止时间前六个月内基本存款账户开户银行出具的资信证明（附开户许可证或基本存款账户信息）(供应商注册时间截至响应文件递交时间不足一年的，也可提供在工商管理部门备案的公司章程）。</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提供响应文件递交截止时间前六个月内任意一个月的社会保障资金缴存单据或社保机构开具的社会保险参保缴费情况证明（以税款所属期为准，依法免税的应提供相关证明材料）。</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设备和技术能力承诺</w:t>
            </w:r>
          </w:p>
        </w:tc>
        <w:tc>
          <w:tcPr>
            <w:tcW w:type="dxa" w:w="3322"/>
          </w:tcPr>
          <w:p>
            <w:pPr>
              <w:pStyle w:val="null3"/>
            </w:pPr>
            <w:r>
              <w:rPr>
                <w:rFonts w:ascii="仿宋_GB2312" w:hAnsi="仿宋_GB2312" w:cs="仿宋_GB2312" w:eastAsia="仿宋_GB2312"/>
              </w:rPr>
              <w:t>提供具有履行合同所必需的设备和专业技术能力的说明及承诺（格式自拟，加盖供应商公章）。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三年无重大声明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提供参加政府采购活动前三年内在经营活动中没有重大违法记录的书面声明（详见附件，加盖供应商公章）。</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法定代表人授权书（附法人身份证正反面及被授权人身份证正反面），法定代表人直接参加的提供身份证明。</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供应商须具备建筑工程施工总承包或市政公用工程施工总承包三级(含三级)及以上资质，并具有有效的安全生产许可证。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拟派项目经理须具有建筑工程或市政工程二级及以上注册建造师资格并具有有效的安全生产考核合格证，且无在建工程。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磋商保证金交纳凭证（截图加盖供应商公章）或担保机构出具的保函。</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税收违法黑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一般资格要求及特殊资格要求.docx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控股及管理关系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单位负责人为同一人或者存在直接控股、管理关系的不同供应商，不得参加同一合同项下的政府采购活动（格式自拟，加盖供应商公章）。</w:t>
            </w:r>
          </w:p>
        </w:tc>
        <w:tc>
          <w:tcPr>
            <w:tcW w:type="dxa" w:w="1661"/>
          </w:tcPr>
          <w:p>
            <w:pPr>
              <w:pStyle w:val="null3"/>
            </w:pPr>
            <w:r>
              <w:rPr>
                <w:rFonts w:ascii="仿宋_GB2312" w:hAnsi="仿宋_GB2312" w:cs="仿宋_GB2312" w:eastAsia="仿宋_GB2312"/>
              </w:rPr>
              <w:t>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符合磋商文件的格式要求</w:t>
            </w:r>
          </w:p>
        </w:tc>
        <w:tc>
          <w:tcPr>
            <w:tcW w:type="dxa" w:w="1661"/>
          </w:tcPr>
          <w:p>
            <w:pPr>
              <w:pStyle w:val="null3"/>
            </w:pPr>
            <w:r>
              <w:rPr>
                <w:rFonts w:ascii="仿宋_GB2312" w:hAnsi="仿宋_GB2312" w:cs="仿宋_GB2312" w:eastAsia="仿宋_GB2312"/>
              </w:rPr>
              <w:t>响应文件封面 一般资格要求及特殊资格要求.docx 已标价工程量清单.docx 中小企业声明函 残疾人福利性单位声明函 报价函 总体实施方案.docx 技术服务合同条款及其他商务要求应答表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一般资格要求及特殊资格要求.docx 已标价工程量清单.docx 中小企业声明函 残疾人福利性单位声明函 报价函 总体实施方案.docx 技术服务合同条款及其他商务要求应答表 标的清单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一般资格要求及特殊资格要求.docx 已标价工程量清单.docx 中小企业声明函 残疾人福利性单位声明函 报价函 总体实施方案.docx 技术服务合同条款及其他商务要求应答表 标的清单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工期、质量、质量保修期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技术服务合同条款及其他商务要求应答表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实质性响应了竞争性磋商文件中标注的要求；响应文件中没有含采购人不能接受的附加条件或其他无效情形。</w:t>
            </w:r>
          </w:p>
        </w:tc>
        <w:tc>
          <w:tcPr>
            <w:tcW w:type="dxa" w:w="1661"/>
          </w:tcPr>
          <w:p>
            <w:pPr>
              <w:pStyle w:val="null3"/>
            </w:pPr>
            <w:r>
              <w:rPr>
                <w:rFonts w:ascii="仿宋_GB2312" w:hAnsi="仿宋_GB2312" w:cs="仿宋_GB2312" w:eastAsia="仿宋_GB2312"/>
              </w:rPr>
              <w:t>响应文件封面 一般资格要求及特殊资格要求.docx 已标价工程量清单.docx 中小企业声明函 残疾人福利性单位声明函 报价函 总体实施方案.docx 技术服务合同条款及其他商务要求应答表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针对本项目采购需求中各部分内容，提供相应的实施方案，方案内容包括但不限于①工作目标②工作内容③工作方法④技术要求⑤进度计划 （1）实施方案科学严谨、内容全面详细、符合技术要求，计20分； （2）实施方案科学合理、内容全面但描述不够详细、符合技术标准要求，计15分； （3）实施方案合理，内容全面性不够，但描述详细、符合技术要求，计10分； （4）实施方案合理，内容全面性不够，但有具体描述，计7分； （5）实施方案合理，内容全面性不够，计3分； （6）实施方案不合理、内容描述粗略，计1分； （7）不提供不得分。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针对本项目采购需求中的内容，制定质量保证措施内容，内容包括但不限于①质量目标②质量保证方法及措施等 （1）质量保证措施内容全面详细，目标明确，科学合理、针对性强，计7分； （2）质量保证措施内容全面但描述不够详细，目标明确，科学合理、针对性强，计5分； （3）质量保证措施内容全面性不够，但描述详细，针对性强，计3分； （4）质量保证措施内容粗略，计1分； （5）不提供不得分。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文明施工、防火、环境保护措施</w:t>
            </w:r>
          </w:p>
        </w:tc>
        <w:tc>
          <w:tcPr>
            <w:tcW w:type="dxa" w:w="2492"/>
          </w:tcPr>
          <w:p>
            <w:pPr>
              <w:pStyle w:val="null3"/>
            </w:pPr>
            <w:r>
              <w:rPr>
                <w:rFonts w:ascii="仿宋_GB2312" w:hAnsi="仿宋_GB2312" w:cs="仿宋_GB2312" w:eastAsia="仿宋_GB2312"/>
              </w:rPr>
              <w:t>（1）文明施工、防火、环境保护措施合理、完善，6分 （2）文明施工、防火、环境保护措施基本合理、比较完善，3分； （3）文明施工、防火、环境保护措施一般，1分；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（1）项目部技术人员配备合理，岗位职责清晰明确，满足本项目需求得7分； （2）项目部技术人员配备较合理，岗位职责较为清晰明确，基本满足本项目需求得3分； （3）项目部技术人员配备不合理，岗位职责较不清晰明确，不能满足本项目需求得1分；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针对本项目提供培训方案，方案包括但不限于①培训计划②培训内容③培训人员④培训方式等。 （1）方案内容全面、描述详细、可操作性强，计7分； （2）方案内容全面但部分描述不够详细、可操作性强，计3分； （3）方案内容全面性不够，描述详细，计1分；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针对本项目劳动力安排计划情况表，根据合理、可行程度进行评审。 （1）劳动力安排计划合理、可行，得7分； （2）劳动力安排计划基本可行，得4分； （3）劳动力安排计划可行性较差，得1分； （4）不提供不得分。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机具、设备配置</w:t>
            </w:r>
          </w:p>
        </w:tc>
        <w:tc>
          <w:tcPr>
            <w:tcW w:type="dxa" w:w="2492"/>
          </w:tcPr>
          <w:p>
            <w:pPr>
              <w:pStyle w:val="null3"/>
            </w:pPr>
            <w:r>
              <w:rPr>
                <w:rFonts w:ascii="仿宋_GB2312" w:hAnsi="仿宋_GB2312" w:cs="仿宋_GB2312" w:eastAsia="仿宋_GB2312"/>
              </w:rPr>
              <w:t>（1）投入本项目的主要机具、设备，配备情况充分、合理、完善计6分； （2）配备情况基本合理、基本能够满足施工需求计3分； （3）配备器具不够合理完善不能满足项目需求计1分；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提供近三年（2023年5月1日起）以来类似的业绩证明材料，每提供一份得2分，满分10分，不提供不得分。 注：日期以合同签订时间或中标（成交）通知书落款时间为准，不得提供虚假材料。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 其他供应商的价格分统一按照下列公式计算： 磋商报价得分=(评审基准价/最终报价)×30计算分数时四舍五入取小数点后两位。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详见附件：总体实施方案.docx</w:t>
      </w:r>
    </w:p>
    <w:p>
      <w:pPr>
        <w:pStyle w:val="null3"/>
        <w:ind w:firstLine="960"/>
      </w:pPr>
      <w:r>
        <w:rPr>
          <w:rFonts w:ascii="仿宋_GB2312" w:hAnsi="仿宋_GB2312" w:cs="仿宋_GB2312" w:eastAsia="仿宋_GB2312"/>
        </w:rPr>
        <w:t>详见附件：一般资格要求及特殊资格要求.docx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