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z w:val="30"/>
          <w:szCs w:val="30"/>
        </w:rPr>
      </w:pPr>
      <w:bookmarkStart w:id="0" w:name="_GoBack"/>
      <w:bookmarkEnd w:id="0"/>
      <w:r>
        <w:rPr>
          <w:rFonts w:hint="eastAsia"/>
          <w:sz w:val="30"/>
          <w:szCs w:val="30"/>
        </w:rPr>
        <w:t>智慧校园教育教学管理平台建设项目预算表</w:t>
      </w:r>
    </w:p>
    <w:p>
      <w:pPr>
        <w:jc w:val="right"/>
      </w:pPr>
      <w:r>
        <w:rPr>
          <w:rFonts w:hint="eastAsia"/>
        </w:rPr>
        <w:t>单位：万元</w:t>
      </w:r>
    </w:p>
    <w:tbl>
      <w:tblPr>
        <w:tblStyle w:val="6"/>
        <w:tblW w:w="51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726"/>
        <w:gridCol w:w="726"/>
        <w:gridCol w:w="4791"/>
        <w:gridCol w:w="726"/>
        <w:gridCol w:w="726"/>
        <w:gridCol w:w="718"/>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5" w:type="pct"/>
            <w:shd w:val="clear" w:color="auto" w:fill="auto"/>
            <w:vAlign w:val="center"/>
          </w:tcPr>
          <w:p>
            <w:pPr>
              <w:rPr>
                <w:b/>
                <w:bCs/>
              </w:rPr>
            </w:pPr>
            <w:r>
              <w:rPr>
                <w:rFonts w:hint="eastAsia"/>
                <w:b/>
                <w:bCs/>
              </w:rPr>
              <w:t>序号</w:t>
            </w:r>
          </w:p>
        </w:tc>
        <w:tc>
          <w:tcPr>
            <w:tcW w:w="368" w:type="pct"/>
            <w:shd w:val="clear" w:color="auto" w:fill="auto"/>
            <w:vAlign w:val="center"/>
          </w:tcPr>
          <w:p>
            <w:pPr>
              <w:rPr>
                <w:b/>
                <w:bCs/>
              </w:rPr>
            </w:pPr>
            <w:r>
              <w:rPr>
                <w:rFonts w:hint="eastAsia"/>
                <w:b/>
                <w:bCs/>
              </w:rPr>
              <w:t>产品名称</w:t>
            </w:r>
          </w:p>
        </w:tc>
        <w:tc>
          <w:tcPr>
            <w:tcW w:w="368" w:type="pct"/>
            <w:shd w:val="clear" w:color="auto" w:fill="auto"/>
            <w:vAlign w:val="center"/>
          </w:tcPr>
          <w:p>
            <w:pPr>
              <w:rPr>
                <w:b/>
                <w:bCs/>
              </w:rPr>
            </w:pPr>
            <w:r>
              <w:rPr>
                <w:rFonts w:hint="eastAsia"/>
                <w:b/>
                <w:bCs/>
              </w:rPr>
              <w:t>产品模块</w:t>
            </w:r>
          </w:p>
        </w:tc>
        <w:tc>
          <w:tcPr>
            <w:tcW w:w="2428" w:type="pct"/>
            <w:shd w:val="clear" w:color="auto" w:fill="auto"/>
            <w:vAlign w:val="center"/>
          </w:tcPr>
          <w:p>
            <w:pPr>
              <w:ind w:firstLine="2108" w:firstLineChars="1000"/>
              <w:rPr>
                <w:b/>
                <w:bCs/>
              </w:rPr>
            </w:pPr>
            <w:r>
              <w:rPr>
                <w:rFonts w:hint="eastAsia"/>
                <w:b/>
                <w:bCs/>
              </w:rPr>
              <w:t>技术参数</w:t>
            </w:r>
          </w:p>
        </w:tc>
        <w:tc>
          <w:tcPr>
            <w:tcW w:w="368" w:type="pct"/>
            <w:shd w:val="clear" w:color="auto" w:fill="auto"/>
            <w:vAlign w:val="center"/>
          </w:tcPr>
          <w:p>
            <w:pPr>
              <w:jc w:val="center"/>
              <w:rPr>
                <w:b/>
                <w:bCs/>
              </w:rPr>
            </w:pPr>
            <w:r>
              <w:rPr>
                <w:rFonts w:hint="eastAsia"/>
                <w:b/>
                <w:bCs/>
              </w:rPr>
              <w:t>单位</w:t>
            </w:r>
          </w:p>
        </w:tc>
        <w:tc>
          <w:tcPr>
            <w:tcW w:w="368" w:type="pct"/>
            <w:shd w:val="clear" w:color="auto" w:fill="auto"/>
            <w:vAlign w:val="center"/>
          </w:tcPr>
          <w:p>
            <w:pPr>
              <w:jc w:val="center"/>
              <w:rPr>
                <w:b/>
                <w:bCs/>
              </w:rPr>
            </w:pPr>
            <w:r>
              <w:rPr>
                <w:rFonts w:hint="eastAsia"/>
                <w:b/>
                <w:bCs/>
              </w:rPr>
              <w:t>数量</w:t>
            </w:r>
          </w:p>
        </w:tc>
        <w:tc>
          <w:tcPr>
            <w:tcW w:w="364" w:type="pct"/>
            <w:vAlign w:val="center"/>
          </w:tcPr>
          <w:p>
            <w:pPr>
              <w:rPr>
                <w:b/>
                <w:bCs/>
                <w:szCs w:val="21"/>
              </w:rPr>
            </w:pPr>
            <w:r>
              <w:rPr>
                <w:rFonts w:hint="eastAsia"/>
                <w:b/>
                <w:bCs/>
                <w:szCs w:val="21"/>
              </w:rPr>
              <w:t>单价</w:t>
            </w:r>
          </w:p>
        </w:tc>
        <w:tc>
          <w:tcPr>
            <w:tcW w:w="371" w:type="pct"/>
            <w:vAlign w:val="center"/>
          </w:tcPr>
          <w:p>
            <w:pPr>
              <w:rPr>
                <w:b/>
                <w:bCs/>
                <w:szCs w:val="21"/>
              </w:rPr>
            </w:pPr>
            <w:r>
              <w:rPr>
                <w:rFonts w:hint="eastAsia"/>
                <w:b/>
                <w:bCs/>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5" w:type="pct"/>
            <w:vMerge w:val="restart"/>
            <w:shd w:val="clear" w:color="auto" w:fill="auto"/>
            <w:vAlign w:val="center"/>
          </w:tcPr>
          <w:p>
            <w:pPr>
              <w:jc w:val="center"/>
            </w:pPr>
            <w:r>
              <w:t>1</w:t>
            </w:r>
          </w:p>
        </w:tc>
        <w:tc>
          <w:tcPr>
            <w:tcW w:w="368" w:type="pct"/>
            <w:vMerge w:val="restart"/>
            <w:shd w:val="clear" w:color="auto" w:fill="FFFFFF"/>
            <w:vAlign w:val="center"/>
          </w:tcPr>
          <w:p>
            <w:pPr>
              <w:jc w:val="center"/>
            </w:pPr>
            <w:r>
              <w:rPr>
                <w:rFonts w:hint="eastAsia"/>
              </w:rPr>
              <w:t>智慧教务系统</w:t>
            </w:r>
          </w:p>
        </w:tc>
        <w:tc>
          <w:tcPr>
            <w:tcW w:w="368" w:type="pct"/>
            <w:shd w:val="clear" w:color="auto" w:fill="auto"/>
            <w:vAlign w:val="center"/>
          </w:tcPr>
          <w:p>
            <w:pPr>
              <w:jc w:val="center"/>
            </w:pPr>
            <w:r>
              <w:rPr>
                <w:rFonts w:hint="eastAsia"/>
              </w:rPr>
              <w:t>到离校考勤</w:t>
            </w:r>
          </w:p>
        </w:tc>
        <w:tc>
          <w:tcPr>
            <w:tcW w:w="2428" w:type="pct"/>
            <w:shd w:val="clear" w:color="auto" w:fill="auto"/>
            <w:vAlign w:val="center"/>
          </w:tcPr>
          <w:p>
            <w:r>
              <w:rPr>
                <w:rFonts w:hint="eastAsia"/>
              </w:rPr>
              <w:t>异常考勤统计：支持查看不同年级、不同时段下学生到离校考勤模式下，异常考勤数据，包括请假、未签到、迟到、早退、未签退等；</w:t>
            </w:r>
            <w:r>
              <w:rPr>
                <w:rFonts w:hint="eastAsia"/>
              </w:rPr>
              <w:br w:type="textWrapping"/>
            </w:r>
            <w:r>
              <w:rPr>
                <w:rFonts w:hint="eastAsia"/>
              </w:rPr>
              <w:t>到离校考勤情况统计：支持统计到离校考勤模式下，全校各班级考勤数据，包括年级、班级、学生数、请假人数、未签到人数、迟到人数、早退人数、未签退人数。</w:t>
            </w:r>
          </w:p>
        </w:tc>
        <w:tc>
          <w:tcPr>
            <w:tcW w:w="368" w:type="pct"/>
            <w:vMerge w:val="restart"/>
            <w:shd w:val="clear" w:color="auto" w:fill="auto"/>
            <w:vAlign w:val="center"/>
          </w:tcPr>
          <w:p>
            <w:pPr>
              <w:jc w:val="center"/>
            </w:pPr>
            <w:r>
              <w:rPr>
                <w:rFonts w:hint="eastAsia"/>
              </w:rPr>
              <w:t>套</w:t>
            </w:r>
          </w:p>
        </w:tc>
        <w:tc>
          <w:tcPr>
            <w:tcW w:w="368" w:type="pct"/>
            <w:vMerge w:val="restart"/>
            <w:shd w:val="clear" w:color="auto" w:fill="auto"/>
            <w:vAlign w:val="center"/>
          </w:tcPr>
          <w:p>
            <w:pPr>
              <w:jc w:val="center"/>
            </w:pPr>
            <w:r>
              <w:rPr>
                <w:rFonts w:hint="eastAsia"/>
              </w:rPr>
              <w:t>1</w:t>
            </w:r>
          </w:p>
        </w:tc>
        <w:tc>
          <w:tcPr>
            <w:tcW w:w="364" w:type="pct"/>
            <w:vMerge w:val="restart"/>
            <w:vAlign w:val="center"/>
          </w:tcPr>
          <w:p>
            <w:pPr>
              <w:jc w:val="center"/>
              <w:rPr>
                <w:szCs w:val="21"/>
              </w:rPr>
            </w:pPr>
          </w:p>
        </w:tc>
        <w:tc>
          <w:tcPr>
            <w:tcW w:w="371" w:type="pct"/>
            <w:vMerge w:val="restart"/>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5" w:type="pct"/>
            <w:vMerge w:val="continue"/>
            <w:shd w:val="clear" w:color="auto" w:fill="auto"/>
            <w:vAlign w:val="center"/>
          </w:tcPr>
          <w:p/>
        </w:tc>
        <w:tc>
          <w:tcPr>
            <w:tcW w:w="368" w:type="pct"/>
            <w:vMerge w:val="continue"/>
            <w:vAlign w:val="center"/>
          </w:tcPr>
          <w:p/>
        </w:tc>
        <w:tc>
          <w:tcPr>
            <w:tcW w:w="368" w:type="pct"/>
            <w:shd w:val="clear" w:color="auto" w:fill="auto"/>
            <w:vAlign w:val="center"/>
          </w:tcPr>
          <w:p>
            <w:pPr>
              <w:jc w:val="center"/>
            </w:pPr>
            <w:r>
              <w:rPr>
                <w:rFonts w:hint="eastAsia"/>
              </w:rPr>
              <w:t>走班课考勤</w:t>
            </w:r>
          </w:p>
        </w:tc>
        <w:tc>
          <w:tcPr>
            <w:tcW w:w="2428" w:type="pct"/>
            <w:shd w:val="clear" w:color="auto" w:fill="auto"/>
            <w:vAlign w:val="center"/>
          </w:tcPr>
          <w:p>
            <w:r>
              <w:rPr>
                <w:rFonts w:hint="eastAsia"/>
              </w:rPr>
              <w:t xml:space="preserve"> 异常考勤统计：支持针对学生走班课的考勤管理和统计功能，包括学考、选考及选修课等，支持实时查看请假、未签到、迟到人数；</w:t>
            </w:r>
            <w:r>
              <w:rPr>
                <w:rFonts w:hint="eastAsia"/>
              </w:rPr>
              <w:br w:type="textWrapping"/>
            </w:r>
            <w:r>
              <w:rPr>
                <w:rFonts w:hint="eastAsia"/>
              </w:rPr>
              <w:t>走班课考勤情况统计：支持统计走班课考勤模式下，全校各班级考勤数据，包括年级、班级、学生数、课时数、请假人数、未签到人数、迟到人数等，支持查看各班级考勤详情；</w:t>
            </w:r>
            <w:r>
              <w:rPr>
                <w:rFonts w:hint="eastAsia"/>
              </w:rPr>
              <w:br w:type="textWrapping"/>
            </w:r>
            <w:r>
              <w:rPr>
                <w:rFonts w:hint="eastAsia"/>
              </w:rPr>
              <w:t>支持按照日、周、月、学期等维度，支持查看走班课考勤数据；</w:t>
            </w:r>
            <w:r>
              <w:rPr>
                <w:rFonts w:hint="eastAsia"/>
              </w:rPr>
              <w:br w:type="textWrapping"/>
            </w:r>
            <w:r>
              <w:rPr>
                <w:rFonts w:hint="eastAsia"/>
              </w:rPr>
              <w:t>支持导出走班课考勤数据。</w:t>
            </w:r>
          </w:p>
        </w:tc>
        <w:tc>
          <w:tcPr>
            <w:tcW w:w="368" w:type="pct"/>
            <w:vMerge w:val="continue"/>
            <w:vAlign w:val="center"/>
          </w:tcPr>
          <w:p>
            <w:pPr>
              <w:jc w:val="center"/>
            </w:pPr>
          </w:p>
        </w:tc>
        <w:tc>
          <w:tcPr>
            <w:tcW w:w="368" w:type="pct"/>
            <w:vMerge w:val="continue"/>
            <w:vAlign w:val="center"/>
          </w:tcPr>
          <w:p>
            <w:pPr>
              <w:jc w:val="center"/>
            </w:pPr>
          </w:p>
        </w:tc>
        <w:tc>
          <w:tcPr>
            <w:tcW w:w="364" w:type="pct"/>
            <w:vMerge w:val="continue"/>
            <w:vAlign w:val="center"/>
          </w:tcPr>
          <w:p>
            <w:pPr>
              <w:rPr>
                <w:szCs w:val="21"/>
              </w:rPr>
            </w:pPr>
          </w:p>
        </w:tc>
        <w:tc>
          <w:tcPr>
            <w:tcW w:w="371" w:type="pct"/>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5" w:type="pct"/>
            <w:vMerge w:val="continue"/>
            <w:shd w:val="clear" w:color="auto" w:fill="auto"/>
            <w:vAlign w:val="center"/>
          </w:tcPr>
          <w:p/>
        </w:tc>
        <w:tc>
          <w:tcPr>
            <w:tcW w:w="368" w:type="pct"/>
            <w:vMerge w:val="continue"/>
            <w:vAlign w:val="center"/>
          </w:tcPr>
          <w:p/>
        </w:tc>
        <w:tc>
          <w:tcPr>
            <w:tcW w:w="368" w:type="pct"/>
            <w:shd w:val="clear" w:color="auto" w:fill="auto"/>
            <w:vAlign w:val="center"/>
          </w:tcPr>
          <w:p>
            <w:pPr>
              <w:jc w:val="center"/>
            </w:pPr>
            <w:r>
              <w:rPr>
                <w:rFonts w:hint="eastAsia"/>
              </w:rPr>
              <w:t>考勤记录</w:t>
            </w:r>
          </w:p>
        </w:tc>
        <w:tc>
          <w:tcPr>
            <w:tcW w:w="2428" w:type="pct"/>
            <w:shd w:val="clear" w:color="auto" w:fill="auto"/>
            <w:vAlign w:val="center"/>
          </w:tcPr>
          <w:p>
            <w:r>
              <w:rPr>
                <w:rFonts w:hint="eastAsia"/>
              </w:rPr>
              <w:t>考勤统计：支持统计全校各年班级下学生考勤数据。</w:t>
            </w:r>
          </w:p>
        </w:tc>
        <w:tc>
          <w:tcPr>
            <w:tcW w:w="368" w:type="pct"/>
            <w:vMerge w:val="continue"/>
            <w:vAlign w:val="center"/>
          </w:tcPr>
          <w:p>
            <w:pPr>
              <w:jc w:val="center"/>
            </w:pPr>
          </w:p>
        </w:tc>
        <w:tc>
          <w:tcPr>
            <w:tcW w:w="368" w:type="pct"/>
            <w:vMerge w:val="continue"/>
            <w:vAlign w:val="center"/>
          </w:tcPr>
          <w:p>
            <w:pPr>
              <w:jc w:val="center"/>
            </w:pPr>
          </w:p>
        </w:tc>
        <w:tc>
          <w:tcPr>
            <w:tcW w:w="364" w:type="pct"/>
            <w:vMerge w:val="continue"/>
            <w:vAlign w:val="center"/>
          </w:tcPr>
          <w:p>
            <w:pPr>
              <w:rPr>
                <w:szCs w:val="21"/>
              </w:rPr>
            </w:pPr>
          </w:p>
        </w:tc>
        <w:tc>
          <w:tcPr>
            <w:tcW w:w="371" w:type="pct"/>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5" w:type="pct"/>
            <w:vMerge w:val="continue"/>
            <w:shd w:val="clear" w:color="auto" w:fill="auto"/>
            <w:vAlign w:val="center"/>
          </w:tcPr>
          <w:p/>
        </w:tc>
        <w:tc>
          <w:tcPr>
            <w:tcW w:w="368" w:type="pct"/>
            <w:vMerge w:val="continue"/>
            <w:vAlign w:val="center"/>
          </w:tcPr>
          <w:p/>
        </w:tc>
        <w:tc>
          <w:tcPr>
            <w:tcW w:w="368" w:type="pct"/>
            <w:shd w:val="clear" w:color="auto" w:fill="auto"/>
            <w:vAlign w:val="center"/>
          </w:tcPr>
          <w:p>
            <w:pPr>
              <w:jc w:val="center"/>
            </w:pPr>
            <w:r>
              <w:rPr>
                <w:rFonts w:hint="eastAsia"/>
              </w:rPr>
              <w:t>请假记录</w:t>
            </w:r>
          </w:p>
        </w:tc>
        <w:tc>
          <w:tcPr>
            <w:tcW w:w="2428" w:type="pct"/>
            <w:shd w:val="clear" w:color="auto" w:fill="auto"/>
            <w:vAlign w:val="center"/>
          </w:tcPr>
          <w:p>
            <w:r>
              <w:rPr>
                <w:rFonts w:hint="eastAsia"/>
              </w:rPr>
              <w:t>请假学生统计：支持统计各年级学生请假学生人数及占比。</w:t>
            </w:r>
          </w:p>
        </w:tc>
        <w:tc>
          <w:tcPr>
            <w:tcW w:w="368" w:type="pct"/>
            <w:vMerge w:val="continue"/>
            <w:vAlign w:val="center"/>
          </w:tcPr>
          <w:p>
            <w:pPr>
              <w:jc w:val="center"/>
            </w:pPr>
          </w:p>
        </w:tc>
        <w:tc>
          <w:tcPr>
            <w:tcW w:w="368" w:type="pct"/>
            <w:vMerge w:val="continue"/>
            <w:vAlign w:val="center"/>
          </w:tcPr>
          <w:p>
            <w:pPr>
              <w:jc w:val="center"/>
            </w:pPr>
          </w:p>
        </w:tc>
        <w:tc>
          <w:tcPr>
            <w:tcW w:w="364" w:type="pct"/>
            <w:vMerge w:val="continue"/>
            <w:vAlign w:val="center"/>
          </w:tcPr>
          <w:p>
            <w:pPr>
              <w:rPr>
                <w:szCs w:val="21"/>
              </w:rPr>
            </w:pPr>
          </w:p>
        </w:tc>
        <w:tc>
          <w:tcPr>
            <w:tcW w:w="371" w:type="pct"/>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5" w:type="pct"/>
            <w:vMerge w:val="continue"/>
            <w:shd w:val="clear" w:color="auto" w:fill="auto"/>
            <w:vAlign w:val="center"/>
          </w:tcPr>
          <w:p/>
        </w:tc>
        <w:tc>
          <w:tcPr>
            <w:tcW w:w="368" w:type="pct"/>
            <w:vMerge w:val="continue"/>
            <w:vAlign w:val="center"/>
          </w:tcPr>
          <w:p/>
        </w:tc>
        <w:tc>
          <w:tcPr>
            <w:tcW w:w="368" w:type="pct"/>
            <w:shd w:val="clear" w:color="auto" w:fill="auto"/>
            <w:vAlign w:val="center"/>
          </w:tcPr>
          <w:p>
            <w:pPr>
              <w:jc w:val="center"/>
            </w:pPr>
            <w:r>
              <w:rPr>
                <w:rFonts w:hint="eastAsia"/>
              </w:rPr>
              <w:t>设置规则</w:t>
            </w:r>
          </w:p>
        </w:tc>
        <w:tc>
          <w:tcPr>
            <w:tcW w:w="2428" w:type="pct"/>
            <w:shd w:val="clear" w:color="auto" w:fill="auto"/>
            <w:vAlign w:val="center"/>
          </w:tcPr>
          <w:p>
            <w:r>
              <w:rPr>
                <w:rFonts w:hint="eastAsia"/>
              </w:rPr>
              <w:t>考勤阶段设置：支持设置不同学段下考勤时间范围；</w:t>
            </w:r>
            <w:r>
              <w:rPr>
                <w:rFonts w:hint="eastAsia"/>
              </w:rPr>
              <w:br w:type="textWrapping"/>
            </w:r>
            <w:r>
              <w:rPr>
                <w:rFonts w:hint="eastAsia"/>
              </w:rPr>
              <w:t>考勤模式设置：支持设置不同年级的考勤模式，包括到离校考勤、走班课考勤等，到离校考勤；走班课考勤包括上午走班课、下午走班课、晚上走班课；</w:t>
            </w:r>
            <w:r>
              <w:rPr>
                <w:rFonts w:hint="eastAsia"/>
              </w:rPr>
              <w:br w:type="textWrapping"/>
            </w:r>
            <w:r>
              <w:rPr>
                <w:rFonts w:hint="eastAsia"/>
              </w:rPr>
              <w:t>考勤时间设置：支持根据各年级考勤模式，设置不同考勤模式下，各年级签到开始和结束时间，支持修改和删除。</w:t>
            </w:r>
          </w:p>
        </w:tc>
        <w:tc>
          <w:tcPr>
            <w:tcW w:w="368" w:type="pct"/>
            <w:vMerge w:val="continue"/>
            <w:vAlign w:val="center"/>
          </w:tcPr>
          <w:p>
            <w:pPr>
              <w:jc w:val="center"/>
            </w:pPr>
          </w:p>
        </w:tc>
        <w:tc>
          <w:tcPr>
            <w:tcW w:w="368" w:type="pct"/>
            <w:vMerge w:val="continue"/>
            <w:vAlign w:val="center"/>
          </w:tcPr>
          <w:p>
            <w:pPr>
              <w:jc w:val="center"/>
            </w:pPr>
          </w:p>
        </w:tc>
        <w:tc>
          <w:tcPr>
            <w:tcW w:w="364" w:type="pct"/>
            <w:vMerge w:val="continue"/>
            <w:vAlign w:val="center"/>
          </w:tcPr>
          <w:p>
            <w:pPr>
              <w:rPr>
                <w:szCs w:val="21"/>
              </w:rPr>
            </w:pPr>
          </w:p>
        </w:tc>
        <w:tc>
          <w:tcPr>
            <w:tcW w:w="371" w:type="pct"/>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5" w:type="pct"/>
            <w:vMerge w:val="restart"/>
            <w:shd w:val="clear" w:color="auto" w:fill="auto"/>
            <w:vAlign w:val="center"/>
          </w:tcPr>
          <w:p>
            <w:r>
              <w:rPr>
                <w:rFonts w:hint="eastAsia"/>
              </w:rPr>
              <w:t>2</w:t>
            </w:r>
          </w:p>
        </w:tc>
        <w:tc>
          <w:tcPr>
            <w:tcW w:w="368" w:type="pct"/>
            <w:vMerge w:val="restart"/>
            <w:shd w:val="clear" w:color="auto" w:fill="FFFFFF"/>
            <w:vAlign w:val="center"/>
          </w:tcPr>
          <w:p>
            <w:r>
              <w:rPr>
                <w:rFonts w:hint="eastAsia"/>
              </w:rPr>
              <w:t>教师发展管理系统</w:t>
            </w:r>
          </w:p>
        </w:tc>
        <w:tc>
          <w:tcPr>
            <w:tcW w:w="368" w:type="pct"/>
            <w:shd w:val="clear" w:color="auto" w:fill="auto"/>
            <w:vAlign w:val="center"/>
          </w:tcPr>
          <w:p>
            <w:r>
              <w:rPr>
                <w:rFonts w:hint="eastAsia"/>
              </w:rPr>
              <w:t>基础成绩分析</w:t>
            </w:r>
          </w:p>
        </w:tc>
        <w:tc>
          <w:tcPr>
            <w:tcW w:w="2428" w:type="pct"/>
            <w:shd w:val="clear" w:color="auto" w:fill="auto"/>
            <w:vAlign w:val="center"/>
          </w:tcPr>
          <w:p>
            <w:r>
              <w:t>1、描述统计</w:t>
            </w:r>
          </w:p>
          <w:p>
            <w:r>
              <w:rPr>
                <w:rFonts w:hint="eastAsia"/>
              </w:rPr>
              <w:t>（</w:t>
            </w:r>
            <w:r>
              <w:t>1）参考人数统计</w:t>
            </w:r>
          </w:p>
          <w:p>
            <w:r>
              <w:rPr>
                <w:rFonts w:hint="eastAsia"/>
              </w:rPr>
              <w:t>支持对学校参考总人数及各科目参考人数进行统计分析；</w:t>
            </w:r>
          </w:p>
          <w:p>
            <w:r>
              <w:rPr>
                <w:rFonts w:hint="eastAsia"/>
              </w:rPr>
              <w:t>支持查看参考人数统计数据明细表，以图表形式展示学校总参考人数及各科目对应参考人数，</w:t>
            </w:r>
            <w:r>
              <w:t>支持输入关键字进行</w:t>
            </w:r>
            <w:r>
              <w:rPr>
                <w:rFonts w:hint="eastAsia"/>
              </w:rPr>
              <w:t>班级</w:t>
            </w:r>
            <w:r>
              <w:t>索引或</w:t>
            </w:r>
            <w:r>
              <w:rPr>
                <w:rFonts w:hint="eastAsia"/>
              </w:rPr>
              <w:t>排序</w:t>
            </w:r>
            <w:r>
              <w:t>查询；</w:t>
            </w:r>
          </w:p>
          <w:p>
            <w:r>
              <w:rPr>
                <w:rFonts w:hint="eastAsia"/>
              </w:rPr>
              <w:t>（</w:t>
            </w:r>
            <w:r>
              <w:t>2）成绩描述</w:t>
            </w:r>
          </w:p>
          <w:p>
            <w:r>
              <w:rPr>
                <w:rFonts w:hint="eastAsia"/>
              </w:rPr>
              <w:t>支持统计总成绩及各科目平均值；</w:t>
            </w:r>
          </w:p>
          <w:p>
            <w:r>
              <w:rPr>
                <w:rFonts w:hint="eastAsia"/>
              </w:rPr>
              <w:t>支持以柱状图形式展示各班总成绩及各科目平均值；</w:t>
            </w:r>
          </w:p>
          <w:p>
            <w:r>
              <w:rPr>
                <w:rFonts w:hint="eastAsia"/>
              </w:rPr>
              <w:t>支持以表格形式展示学校各班级总成绩及各科目对应的平均值、标准差、最高分、最低分；</w:t>
            </w:r>
          </w:p>
          <w:p>
            <w:r>
              <w:rPr>
                <w:rFonts w:hint="eastAsia"/>
              </w:rPr>
              <w:t>（</w:t>
            </w:r>
            <w:r>
              <w:t>3）成绩分布</w:t>
            </w:r>
          </w:p>
          <w:p>
            <w:r>
              <w:rPr>
                <w:rFonts w:hint="eastAsia"/>
              </w:rPr>
              <w:t>支持以柱状图和表格形式展示学校各班级总成绩及各科目不同区间成绩对应的人数分布情况；</w:t>
            </w:r>
          </w:p>
          <w:p>
            <w:r>
              <w:t>2、试卷质量分析</w:t>
            </w:r>
          </w:p>
          <w:p>
            <w:r>
              <w:rPr>
                <w:rFonts w:hint="eastAsia"/>
              </w:rPr>
              <w:t>▲系统支持试卷质量评价，支持统计查看试卷质量分析数据明细表，内容包括但不限于：各科目对应的参考人数及平均值，各科目试卷难度及区分度情况。</w:t>
            </w:r>
            <w:r>
              <w:rPr>
                <w:rFonts w:hint="eastAsia" w:cs="宋体"/>
                <w:b w:val="0"/>
                <w:bCs w:val="0"/>
                <w:color w:val="000000"/>
                <w:kern w:val="0"/>
              </w:rPr>
              <w:t>（须以真实应用系统对软件应用功能进行演示）</w:t>
            </w:r>
          </w:p>
        </w:tc>
        <w:tc>
          <w:tcPr>
            <w:tcW w:w="368" w:type="pct"/>
            <w:vMerge w:val="restart"/>
            <w:shd w:val="clear" w:color="auto" w:fill="auto"/>
            <w:vAlign w:val="center"/>
          </w:tcPr>
          <w:p>
            <w:pPr>
              <w:jc w:val="center"/>
            </w:pPr>
            <w:r>
              <w:rPr>
                <w:rFonts w:hint="eastAsia"/>
              </w:rPr>
              <w:t>套</w:t>
            </w:r>
          </w:p>
        </w:tc>
        <w:tc>
          <w:tcPr>
            <w:tcW w:w="368" w:type="pct"/>
            <w:vMerge w:val="restart"/>
            <w:shd w:val="clear" w:color="auto" w:fill="auto"/>
            <w:vAlign w:val="center"/>
          </w:tcPr>
          <w:p>
            <w:pPr>
              <w:jc w:val="center"/>
            </w:pPr>
            <w:r>
              <w:rPr>
                <w:rFonts w:hint="eastAsia"/>
              </w:rPr>
              <w:t>1</w:t>
            </w:r>
          </w:p>
        </w:tc>
        <w:tc>
          <w:tcPr>
            <w:tcW w:w="364" w:type="pct"/>
            <w:vMerge w:val="restart"/>
            <w:vAlign w:val="center"/>
          </w:tcPr>
          <w:p>
            <w:pPr>
              <w:jc w:val="center"/>
              <w:rPr>
                <w:szCs w:val="21"/>
              </w:rPr>
            </w:pPr>
          </w:p>
        </w:tc>
        <w:tc>
          <w:tcPr>
            <w:tcW w:w="371" w:type="pct"/>
            <w:vMerge w:val="restart"/>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5" w:type="pct"/>
            <w:vMerge w:val="continue"/>
            <w:shd w:val="clear" w:color="auto" w:fill="auto"/>
            <w:vAlign w:val="center"/>
          </w:tcPr>
          <w:p/>
        </w:tc>
        <w:tc>
          <w:tcPr>
            <w:tcW w:w="368" w:type="pct"/>
            <w:vMerge w:val="continue"/>
            <w:shd w:val="clear" w:color="auto" w:fill="FFFFFF"/>
            <w:vAlign w:val="center"/>
          </w:tcPr>
          <w:p/>
        </w:tc>
        <w:tc>
          <w:tcPr>
            <w:tcW w:w="368" w:type="pct"/>
            <w:shd w:val="clear" w:color="auto" w:fill="auto"/>
            <w:vAlign w:val="center"/>
          </w:tcPr>
          <w:p>
            <w:r>
              <w:rPr>
                <w:rFonts w:hint="eastAsia"/>
              </w:rPr>
              <w:t>达标上线统计</w:t>
            </w:r>
          </w:p>
        </w:tc>
        <w:tc>
          <w:tcPr>
            <w:tcW w:w="2428" w:type="pct"/>
            <w:shd w:val="clear" w:color="auto" w:fill="auto"/>
            <w:vAlign w:val="center"/>
          </w:tcPr>
          <w:p>
            <w:r>
              <w:t>1、四率分析</w:t>
            </w:r>
          </w:p>
          <w:p>
            <w:pPr>
              <w:rPr>
                <w:b w:val="0"/>
                <w:bCs w:val="0"/>
              </w:rPr>
            </w:pPr>
            <w:r>
              <w:rPr>
                <w:rFonts w:hint="eastAsia"/>
              </w:rPr>
              <w:t>▲（</w:t>
            </w:r>
            <w:r>
              <w:t>1）</w:t>
            </w:r>
            <w:r>
              <w:rPr>
                <w:rFonts w:hint="eastAsia"/>
              </w:rPr>
              <w:t>系统</w:t>
            </w:r>
            <w:r>
              <w:t>支持统计</w:t>
            </w:r>
            <w:r>
              <w:rPr>
                <w:rFonts w:hint="eastAsia"/>
              </w:rPr>
              <w:t>学校</w:t>
            </w:r>
            <w:r>
              <w:t>学生总成绩及各科目不同分数段对应学生人数，并</w:t>
            </w:r>
            <w:r>
              <w:rPr>
                <w:rFonts w:hint="eastAsia"/>
              </w:rPr>
              <w:t>统计</w:t>
            </w:r>
            <w:r>
              <w:t>学校优秀率、良好率、合格率以及低分率</w:t>
            </w:r>
            <w:r>
              <w:rPr>
                <w:rFonts w:hint="eastAsia"/>
              </w:rPr>
              <w:t>情况</w:t>
            </w:r>
            <w:r>
              <w:t>；支持以柱状图形式展示学校</w:t>
            </w:r>
            <w:r>
              <w:rPr>
                <w:rFonts w:hint="eastAsia"/>
              </w:rPr>
              <w:t>各班级</w:t>
            </w:r>
            <w:r>
              <w:t>的四率占比情况；</w:t>
            </w:r>
            <w:r>
              <w:rPr>
                <w:rFonts w:hint="eastAsia" w:cs="宋体"/>
                <w:b w:val="0"/>
                <w:bCs w:val="0"/>
                <w:color w:val="000000"/>
                <w:kern w:val="0"/>
              </w:rPr>
              <w:t>（须以真实应用系统对软件应用功能进行演示）</w:t>
            </w:r>
          </w:p>
          <w:p>
            <w:r>
              <w:rPr>
                <w:rFonts w:hint="eastAsia"/>
              </w:rPr>
              <w:t>（</w:t>
            </w:r>
            <w:r>
              <w:t>2）支持查看四率数据明细表，支持以明细表形式展示学校</w:t>
            </w:r>
            <w:r>
              <w:rPr>
                <w:rFonts w:hint="eastAsia"/>
              </w:rPr>
              <w:t>各班级</w:t>
            </w:r>
            <w:r>
              <w:t>四率分析的详细结果；支持输入关键字进行</w:t>
            </w:r>
            <w:r>
              <w:rPr>
                <w:rFonts w:hint="eastAsia"/>
              </w:rPr>
              <w:t>班级</w:t>
            </w:r>
            <w:r>
              <w:t>索引或键入固定值进行范围查询</w:t>
            </w:r>
            <w:r>
              <w:rPr>
                <w:rFonts w:hint="eastAsia"/>
              </w:rPr>
              <w:t>。</w:t>
            </w:r>
          </w:p>
          <w:p>
            <w:r>
              <w:t>2、上线率分析</w:t>
            </w:r>
          </w:p>
          <w:p>
            <w:r>
              <w:rPr>
                <w:rFonts w:hint="eastAsia"/>
              </w:rPr>
              <w:t>（</w:t>
            </w:r>
            <w:r>
              <w:t>1）支持对</w:t>
            </w:r>
            <w:r>
              <w:rPr>
                <w:rFonts w:hint="eastAsia"/>
              </w:rPr>
              <w:t>学校</w:t>
            </w:r>
            <w:r>
              <w:t>各</w:t>
            </w:r>
            <w:r>
              <w:rPr>
                <w:rFonts w:hint="eastAsia"/>
              </w:rPr>
              <w:t>班级的</w:t>
            </w:r>
            <w:r>
              <w:t>总成绩及各科目不同分数线的上线人数进行统计分析，并</w:t>
            </w:r>
            <w:r>
              <w:rPr>
                <w:rFonts w:hint="eastAsia"/>
              </w:rPr>
              <w:t>展示</w:t>
            </w:r>
            <w:r>
              <w:t>总成绩及各科目的A线上线率、B线上线率、C线上线率</w:t>
            </w:r>
            <w:r>
              <w:rPr>
                <w:rFonts w:hint="eastAsia"/>
              </w:rPr>
              <w:t>情况</w:t>
            </w:r>
            <w:r>
              <w:t>；</w:t>
            </w:r>
          </w:p>
          <w:p>
            <w:r>
              <w:rPr>
                <w:rFonts w:hint="eastAsia"/>
              </w:rPr>
              <w:t>（</w:t>
            </w:r>
            <w:r>
              <w:t>2）支持以柱状图形式展示学校</w:t>
            </w:r>
            <w:r>
              <w:rPr>
                <w:rFonts w:hint="eastAsia"/>
              </w:rPr>
              <w:t>各班级</w:t>
            </w:r>
            <w:r>
              <w:t>的总成绩及各科目不同分数线的上线率；</w:t>
            </w:r>
          </w:p>
          <w:p>
            <w:r>
              <w:rPr>
                <w:rFonts w:hint="eastAsia"/>
              </w:rPr>
              <w:t>（</w:t>
            </w:r>
            <w:r>
              <w:t>3）支持查看上线率数据明细表，支持以明细表形式查看</w:t>
            </w:r>
            <w:r>
              <w:rPr>
                <w:rFonts w:hint="eastAsia"/>
              </w:rPr>
              <w:t>学校各班级</w:t>
            </w:r>
            <w:r>
              <w:t>上线</w:t>
            </w:r>
            <w:r>
              <w:rPr>
                <w:rFonts w:hint="eastAsia"/>
              </w:rPr>
              <w:t>情况</w:t>
            </w:r>
            <w:r>
              <w:t>，包括但不限于：</w:t>
            </w:r>
            <w:r>
              <w:rPr>
                <w:rFonts w:hint="eastAsia"/>
              </w:rPr>
              <w:t>各班级的</w:t>
            </w:r>
            <w:r>
              <w:t>总成绩及各科目对应不同分数线的上线率；支持输入关键字进行</w:t>
            </w:r>
            <w:r>
              <w:rPr>
                <w:rFonts w:hint="eastAsia"/>
              </w:rPr>
              <w:t>班级</w:t>
            </w:r>
            <w:r>
              <w:t>索引或键入固定值进行范围查询</w:t>
            </w:r>
            <w:r>
              <w:rPr>
                <w:rFonts w:hint="eastAsia"/>
              </w:rPr>
              <w:t>。</w:t>
            </w:r>
          </w:p>
          <w:p>
            <w:r>
              <w:t>3、重点关注群体分析</w:t>
            </w:r>
          </w:p>
          <w:p>
            <w:r>
              <w:rPr>
                <w:rFonts w:hint="eastAsia"/>
              </w:rPr>
              <w:t>（</w:t>
            </w:r>
            <w:r>
              <w:t>1）支持统计</w:t>
            </w:r>
            <w:r>
              <w:rPr>
                <w:rFonts w:hint="eastAsia"/>
              </w:rPr>
              <w:t>学校</w:t>
            </w:r>
            <w:r>
              <w:t>各</w:t>
            </w:r>
            <w:r>
              <w:rPr>
                <w:rFonts w:hint="eastAsia"/>
              </w:rPr>
              <w:t>班级</w:t>
            </w:r>
            <w:r>
              <w:t>重点学生群体</w:t>
            </w:r>
            <w:r>
              <w:rPr>
                <w:rFonts w:hint="eastAsia"/>
              </w:rPr>
              <w:t>情况</w:t>
            </w:r>
            <w:r>
              <w:t>，包括临界生和优秀生；支持对不同分数线的临界生数量进行统计分析；</w:t>
            </w:r>
          </w:p>
          <w:p>
            <w:r>
              <w:rPr>
                <w:rFonts w:hint="eastAsia"/>
              </w:rPr>
              <w:t>（</w:t>
            </w:r>
            <w:r>
              <w:t>2）支持以柱状图形式展示</w:t>
            </w:r>
            <w:r>
              <w:rPr>
                <w:rFonts w:hint="eastAsia"/>
              </w:rPr>
              <w:t>学校</w:t>
            </w:r>
            <w:r>
              <w:t>各</w:t>
            </w:r>
            <w:r>
              <w:rPr>
                <w:rFonts w:hint="eastAsia"/>
              </w:rPr>
              <w:t>班级</w:t>
            </w:r>
            <w:r>
              <w:t>的临界生和优秀生人数；</w:t>
            </w:r>
          </w:p>
          <w:p>
            <w:r>
              <w:rPr>
                <w:rFonts w:hint="eastAsia"/>
              </w:rPr>
              <w:t>（</w:t>
            </w:r>
            <w:r>
              <w:t>3）支持查看关注群体数据明细表，支持以明细表的形式查看各</w:t>
            </w:r>
            <w:r>
              <w:rPr>
                <w:rFonts w:hint="eastAsia"/>
              </w:rPr>
              <w:t>班级</w:t>
            </w:r>
            <w:r>
              <w:t>不同分数线的临界生</w:t>
            </w:r>
            <w:r>
              <w:rPr>
                <w:rFonts w:hint="eastAsia"/>
              </w:rPr>
              <w:t>人数</w:t>
            </w:r>
            <w:r>
              <w:t>和优秀生人数；</w:t>
            </w:r>
          </w:p>
          <w:p>
            <w:r>
              <w:rPr>
                <w:rFonts w:hint="eastAsia"/>
              </w:rPr>
              <w:t>（</w:t>
            </w:r>
            <w:r>
              <w:t>4）支持查看各</w:t>
            </w:r>
            <w:r>
              <w:rPr>
                <w:rFonts w:hint="eastAsia"/>
              </w:rPr>
              <w:t>班级</w:t>
            </w:r>
            <w:r>
              <w:t>临界生和优秀生名单</w:t>
            </w:r>
            <w:r>
              <w:rPr>
                <w:rFonts w:hint="eastAsia"/>
              </w:rPr>
              <w:t>。</w:t>
            </w:r>
          </w:p>
        </w:tc>
        <w:tc>
          <w:tcPr>
            <w:tcW w:w="368" w:type="pct"/>
            <w:vMerge w:val="continue"/>
            <w:shd w:val="clear" w:color="auto" w:fill="auto"/>
            <w:vAlign w:val="center"/>
          </w:tcPr>
          <w:p>
            <w:pPr>
              <w:jc w:val="center"/>
            </w:pPr>
          </w:p>
        </w:tc>
        <w:tc>
          <w:tcPr>
            <w:tcW w:w="368" w:type="pct"/>
            <w:vMerge w:val="continue"/>
            <w:shd w:val="clear" w:color="auto" w:fill="auto"/>
            <w:vAlign w:val="center"/>
          </w:tcPr>
          <w:p>
            <w:pPr>
              <w:jc w:val="center"/>
            </w:pPr>
          </w:p>
        </w:tc>
        <w:tc>
          <w:tcPr>
            <w:tcW w:w="364" w:type="pct"/>
            <w:vMerge w:val="continue"/>
            <w:vAlign w:val="center"/>
          </w:tcPr>
          <w:p>
            <w:pPr>
              <w:rPr>
                <w:szCs w:val="21"/>
              </w:rPr>
            </w:pPr>
          </w:p>
        </w:tc>
        <w:tc>
          <w:tcPr>
            <w:tcW w:w="371" w:type="pct"/>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5" w:type="pct"/>
            <w:vMerge w:val="restart"/>
            <w:shd w:val="clear" w:color="auto" w:fill="auto"/>
            <w:vAlign w:val="center"/>
          </w:tcPr>
          <w:p>
            <w:pPr>
              <w:jc w:val="center"/>
            </w:pPr>
            <w:r>
              <w:rPr>
                <w:rFonts w:hint="eastAsia"/>
              </w:rPr>
              <w:t>3</w:t>
            </w:r>
          </w:p>
        </w:tc>
        <w:tc>
          <w:tcPr>
            <w:tcW w:w="368" w:type="pct"/>
            <w:vMerge w:val="restart"/>
            <w:shd w:val="clear" w:color="auto" w:fill="FFFFFF"/>
            <w:vAlign w:val="center"/>
          </w:tcPr>
          <w:p>
            <w:pPr>
              <w:jc w:val="center"/>
            </w:pPr>
            <w:r>
              <w:rPr>
                <w:rFonts w:hint="eastAsia"/>
              </w:rPr>
              <w:t>智慧教学评价系统</w:t>
            </w:r>
          </w:p>
        </w:tc>
        <w:tc>
          <w:tcPr>
            <w:tcW w:w="368" w:type="pct"/>
            <w:shd w:val="clear" w:color="auto" w:fill="auto"/>
            <w:vAlign w:val="center"/>
          </w:tcPr>
          <w:p>
            <w:pPr>
              <w:rPr>
                <w:rFonts w:cs="宋体"/>
                <w:kern w:val="0"/>
              </w:rPr>
            </w:pPr>
            <w:r>
              <w:rPr>
                <w:rFonts w:hint="eastAsia"/>
              </w:rPr>
              <w:t>增值分析</w:t>
            </w:r>
          </w:p>
        </w:tc>
        <w:tc>
          <w:tcPr>
            <w:tcW w:w="2428" w:type="pct"/>
            <w:shd w:val="clear" w:color="auto" w:fill="auto"/>
            <w:vAlign w:val="center"/>
          </w:tcPr>
          <w:p>
            <w:r>
              <w:rPr>
                <w:rFonts w:hint="eastAsia"/>
              </w:rPr>
              <w:t>1、学生成长百分等级（SGP模型）</w:t>
            </w:r>
          </w:p>
          <w:p>
            <w:r>
              <w:rPr>
                <w:rFonts w:hint="eastAsia"/>
              </w:rPr>
              <w:t>（1）学生成长百分等级-等级</w:t>
            </w:r>
            <w:r>
              <w:t>统计</w:t>
            </w:r>
          </w:p>
          <w:p>
            <w:pPr>
              <w:pStyle w:val="12"/>
              <w:rPr>
                <w:b w:val="0"/>
                <w:bCs w:val="0"/>
              </w:rPr>
            </w:pPr>
            <w:r>
              <w:rPr>
                <w:rFonts w:hint="eastAsia"/>
              </w:rPr>
              <w:t>▲系统支持对学校各班级的学生总成绩及各科目</w:t>
            </w:r>
            <w:r>
              <w:t>SGP分布</w:t>
            </w:r>
            <w:r>
              <w:rPr>
                <w:rFonts w:hint="eastAsia"/>
              </w:rPr>
              <w:t>情况进行统计分析，并以柱状图形式展示学校各班级的总成绩及各科目SGP低、中、高占比情况；</w:t>
            </w:r>
            <w:r>
              <w:rPr>
                <w:rFonts w:hint="eastAsia" w:cs="宋体"/>
                <w:b w:val="0"/>
                <w:bCs w:val="0"/>
                <w:color w:val="000000"/>
                <w:kern w:val="0"/>
              </w:rPr>
              <w:t>（须以真实应用系统对软件应用功能进行演示）</w:t>
            </w:r>
          </w:p>
          <w:p>
            <w:pPr>
              <w:pStyle w:val="12"/>
            </w:pPr>
            <w:r>
              <w:rPr>
                <w:rFonts w:hint="eastAsia"/>
              </w:rPr>
              <w:t>支持查看</w:t>
            </w:r>
            <w:r>
              <w:t>SGP等级统计数据明细</w:t>
            </w:r>
            <w:r>
              <w:rPr>
                <w:rFonts w:hint="eastAsia"/>
              </w:rPr>
              <w:t>表，包括但不限于：各班级的总成绩</w:t>
            </w:r>
            <w:r>
              <w:t>SGP低</w:t>
            </w:r>
            <w:r>
              <w:rPr>
                <w:rFonts w:hint="eastAsia"/>
              </w:rPr>
              <w:t>、中、高分别对应的人数及占比，各科目</w:t>
            </w:r>
            <w:r>
              <w:t>SGP低、中、高分别对应的人数及占比</w:t>
            </w:r>
          </w:p>
          <w:p>
            <w:r>
              <w:rPr>
                <w:rFonts w:hint="eastAsia"/>
              </w:rPr>
              <w:t>（2）学生成长百分等级</w:t>
            </w:r>
            <w:r>
              <w:t>-成绩成长对比</w:t>
            </w:r>
          </w:p>
          <w:p>
            <w:pPr>
              <w:pStyle w:val="12"/>
            </w:pPr>
            <w:r>
              <w:rPr>
                <w:rFonts w:hint="eastAsia"/>
              </w:rPr>
              <w:t>支持对学校各班级的学生总成绩及各科目的成绩成长进行对比分析，并以坐标图形式展示各班级的学生总成绩及各科目的成绩与SGP成长对比信息；</w:t>
            </w:r>
          </w:p>
          <w:p>
            <w:pPr>
              <w:pStyle w:val="12"/>
            </w:pPr>
            <w:r>
              <w:rPr>
                <w:rFonts w:hint="eastAsia"/>
              </w:rPr>
              <w:t>支持查看</w:t>
            </w:r>
            <w:r>
              <w:t>SGP成绩成长对比数据明细表</w:t>
            </w:r>
            <w:r>
              <w:rPr>
                <w:rFonts w:hint="eastAsia"/>
              </w:rPr>
              <w:t>，包括但不限于：总成绩的平均值及SGP平均值，各科目的平均值及SGP平均值；</w:t>
            </w:r>
          </w:p>
          <w:p>
            <w:r>
              <w:rPr>
                <w:rFonts w:hint="eastAsia"/>
              </w:rPr>
              <w:t>（3）学生成长百分等级</w:t>
            </w:r>
            <w:r>
              <w:t>-分层分析</w:t>
            </w:r>
          </w:p>
          <w:p>
            <w:pPr>
              <w:pStyle w:val="12"/>
            </w:pPr>
            <w:r>
              <w:rPr>
                <w:rFonts w:hint="eastAsia"/>
              </w:rPr>
              <w:t>支持对学校各班级的SGP分层情况进行统计分析，并以柱状图形式展示各班级的总成绩及各科目SGP的各层次成绩数据，层次可分为A线以上、B线以上、C线以上、C线以下；</w:t>
            </w:r>
          </w:p>
          <w:p>
            <w:pPr>
              <w:pStyle w:val="12"/>
            </w:pPr>
            <w:r>
              <w:rPr>
                <w:rFonts w:hint="eastAsia"/>
              </w:rPr>
              <w:t>支持查看</w:t>
            </w:r>
            <w:r>
              <w:t>SGP分层分析数据明细表</w:t>
            </w:r>
            <w:r>
              <w:rPr>
                <w:rFonts w:hint="eastAsia"/>
              </w:rPr>
              <w:t>，包括但不限于：总成绩各层次的SGP数据信息，各科目各层次的SGP数据信息；</w:t>
            </w:r>
          </w:p>
          <w:p>
            <w:r>
              <w:rPr>
                <w:rFonts w:hint="eastAsia"/>
              </w:rPr>
              <w:t>2、排名增速</w:t>
            </w:r>
          </w:p>
          <w:p>
            <w:r>
              <w:rPr>
                <w:rFonts w:hint="eastAsia"/>
              </w:rPr>
              <w:t>（1）各校排名增速对比</w:t>
            </w:r>
            <w:r>
              <w:t>-总成绩</w:t>
            </w:r>
          </w:p>
          <w:p>
            <w:r>
              <w:rPr>
                <w:rFonts w:hint="eastAsia"/>
              </w:rPr>
              <w:t>支持对学校各班级的总成绩及各科目成绩排名增速进行统计分析，并以柱状图形式展示各班级的总成绩及各科目排名增速对比情况；</w:t>
            </w:r>
          </w:p>
          <w:p>
            <w:r>
              <w:rPr>
                <w:rFonts w:hint="eastAsia"/>
              </w:rPr>
              <w:t>（2）排名增速数据明细表</w:t>
            </w:r>
            <w:r>
              <w:t>-各</w:t>
            </w:r>
            <w:r>
              <w:rPr>
                <w:rFonts w:hint="eastAsia"/>
              </w:rPr>
              <w:t>班</w:t>
            </w:r>
          </w:p>
          <w:p>
            <w:r>
              <w:rPr>
                <w:rFonts w:hint="eastAsia"/>
              </w:rPr>
              <w:t>支持查看学校各班级的总成绩及各科目的平均增速数据。</w:t>
            </w:r>
          </w:p>
          <w:p>
            <w:r>
              <w:rPr>
                <w:rFonts w:hint="eastAsia"/>
              </w:rPr>
              <w:t>（3）排名增速数据明细表</w:t>
            </w:r>
            <w:r>
              <w:t>-个人</w:t>
            </w:r>
          </w:p>
          <w:p>
            <w:pPr>
              <w:rPr>
                <w:rFonts w:cs="宋体"/>
                <w:color w:val="000000"/>
                <w:kern w:val="0"/>
              </w:rPr>
            </w:pPr>
            <w:r>
              <w:rPr>
                <w:rFonts w:hint="eastAsia"/>
              </w:rPr>
              <w:t>支持查看学校各班级的学生个人排名增速数据明细表，包括但不限于：班级、姓名、学生账号、总成绩、总成绩增速、各科目对应的成绩及增速信息。</w:t>
            </w:r>
          </w:p>
        </w:tc>
        <w:tc>
          <w:tcPr>
            <w:tcW w:w="368" w:type="pct"/>
            <w:vMerge w:val="restart"/>
            <w:shd w:val="clear" w:color="auto" w:fill="auto"/>
            <w:vAlign w:val="center"/>
          </w:tcPr>
          <w:p>
            <w:pPr>
              <w:jc w:val="center"/>
            </w:pPr>
            <w:r>
              <w:rPr>
                <w:rFonts w:hint="eastAsia"/>
              </w:rPr>
              <w:t>套</w:t>
            </w:r>
          </w:p>
        </w:tc>
        <w:tc>
          <w:tcPr>
            <w:tcW w:w="368" w:type="pct"/>
            <w:vMerge w:val="restart"/>
            <w:shd w:val="clear" w:color="auto" w:fill="auto"/>
            <w:vAlign w:val="center"/>
          </w:tcPr>
          <w:p>
            <w:pPr>
              <w:jc w:val="center"/>
            </w:pPr>
            <w:r>
              <w:rPr>
                <w:rFonts w:hint="eastAsia"/>
              </w:rPr>
              <w:t>1</w:t>
            </w:r>
          </w:p>
        </w:tc>
        <w:tc>
          <w:tcPr>
            <w:tcW w:w="364" w:type="pct"/>
            <w:vMerge w:val="restart"/>
            <w:vAlign w:val="center"/>
          </w:tcPr>
          <w:p>
            <w:pPr>
              <w:jc w:val="center"/>
              <w:rPr>
                <w:szCs w:val="21"/>
              </w:rPr>
            </w:pPr>
          </w:p>
        </w:tc>
        <w:tc>
          <w:tcPr>
            <w:tcW w:w="371" w:type="pct"/>
            <w:vMerge w:val="restart"/>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5" w:type="pct"/>
            <w:vMerge w:val="continue"/>
            <w:shd w:val="clear" w:color="auto" w:fill="auto"/>
            <w:vAlign w:val="center"/>
          </w:tcPr>
          <w:p/>
        </w:tc>
        <w:tc>
          <w:tcPr>
            <w:tcW w:w="368" w:type="pct"/>
            <w:vMerge w:val="continue"/>
            <w:vAlign w:val="center"/>
          </w:tcPr>
          <w:p/>
        </w:tc>
        <w:tc>
          <w:tcPr>
            <w:tcW w:w="368" w:type="pct"/>
            <w:shd w:val="clear" w:color="auto" w:fill="auto"/>
            <w:vAlign w:val="center"/>
          </w:tcPr>
          <w:p>
            <w:pPr>
              <w:rPr>
                <w:rFonts w:cs="宋体"/>
                <w:kern w:val="0"/>
              </w:rPr>
            </w:pPr>
            <w:r>
              <w:rPr>
                <w:rFonts w:hint="eastAsia"/>
              </w:rPr>
              <w:t>均衡情况分析</w:t>
            </w:r>
          </w:p>
        </w:tc>
        <w:tc>
          <w:tcPr>
            <w:tcW w:w="2428" w:type="pct"/>
            <w:shd w:val="clear" w:color="auto" w:fill="auto"/>
            <w:vAlign w:val="center"/>
          </w:tcPr>
          <w:p>
            <w:r>
              <w:t>1、比均率分析</w:t>
            </w:r>
          </w:p>
          <w:p>
            <w:r>
              <w:rPr>
                <w:rFonts w:hint="eastAsia"/>
              </w:rPr>
              <w:t>（</w:t>
            </w:r>
            <w:r>
              <w:t>1）支持统计</w:t>
            </w:r>
            <w:r>
              <w:rPr>
                <w:rFonts w:hint="eastAsia"/>
              </w:rPr>
              <w:t>学校</w:t>
            </w:r>
            <w:r>
              <w:t>各</w:t>
            </w:r>
            <w:r>
              <w:rPr>
                <w:rFonts w:hint="eastAsia"/>
              </w:rPr>
              <w:t>班级</w:t>
            </w:r>
            <w:r>
              <w:t>总成绩及各科目对应的比均率（比均率=学校平均分/全体平均分）；</w:t>
            </w:r>
          </w:p>
          <w:p>
            <w:r>
              <w:rPr>
                <w:rFonts w:hint="eastAsia"/>
              </w:rPr>
              <w:t>（</w:t>
            </w:r>
            <w:r>
              <w:t>2）支持以柱状图形式由高至低展示</w:t>
            </w:r>
            <w:r>
              <w:rPr>
                <w:rFonts w:hint="eastAsia"/>
              </w:rPr>
              <w:t>学校</w:t>
            </w:r>
            <w:r>
              <w:t>各</w:t>
            </w:r>
            <w:r>
              <w:rPr>
                <w:rFonts w:hint="eastAsia"/>
              </w:rPr>
              <w:t>班级的</w:t>
            </w:r>
            <w:r>
              <w:t>总成绩及各科目比均率；</w:t>
            </w:r>
          </w:p>
          <w:p>
            <w:r>
              <w:rPr>
                <w:rFonts w:hint="eastAsia"/>
              </w:rPr>
              <w:t>（</w:t>
            </w:r>
            <w:r>
              <w:t>3）支持以表格形式展示</w:t>
            </w:r>
            <w:r>
              <w:rPr>
                <w:rFonts w:hint="eastAsia"/>
              </w:rPr>
              <w:t>学校</w:t>
            </w:r>
            <w:r>
              <w:t>各</w:t>
            </w:r>
            <w:r>
              <w:rPr>
                <w:rFonts w:hint="eastAsia"/>
              </w:rPr>
              <w:t>班级</w:t>
            </w:r>
            <w:r>
              <w:t>比均率数据明细，支持输入关键字进行</w:t>
            </w:r>
            <w:r>
              <w:rPr>
                <w:rFonts w:hint="eastAsia"/>
              </w:rPr>
              <w:t>班级</w:t>
            </w:r>
            <w:r>
              <w:t>索引或键入固定值进行范围查询</w:t>
            </w:r>
            <w:r>
              <w:rPr>
                <w:rFonts w:hint="eastAsia"/>
              </w:rPr>
              <w:t>。</w:t>
            </w:r>
          </w:p>
          <w:p>
            <w:r>
              <w:t>2、超均率分析</w:t>
            </w:r>
          </w:p>
          <w:p>
            <w:r>
              <w:rPr>
                <w:rFonts w:hint="eastAsia"/>
              </w:rPr>
              <w:t>（</w:t>
            </w:r>
            <w:r>
              <w:t>1）支持统计</w:t>
            </w:r>
            <w:r>
              <w:rPr>
                <w:rFonts w:hint="eastAsia"/>
              </w:rPr>
              <w:t>学校</w:t>
            </w:r>
            <w:r>
              <w:t>各</w:t>
            </w:r>
            <w:r>
              <w:rPr>
                <w:rFonts w:hint="eastAsia"/>
              </w:rPr>
              <w:t>班级</w:t>
            </w:r>
            <w:r>
              <w:t>总成绩及各科目对应的超均率（超均率=（学校平均分-全体平均分）/全体平均分）。</w:t>
            </w:r>
          </w:p>
          <w:p>
            <w:r>
              <w:rPr>
                <w:rFonts w:hint="eastAsia"/>
              </w:rPr>
              <w:t>（</w:t>
            </w:r>
            <w:r>
              <w:t>2）支持以柱状图形式由高至低展示</w:t>
            </w:r>
            <w:r>
              <w:rPr>
                <w:rFonts w:hint="eastAsia"/>
              </w:rPr>
              <w:t>学校</w:t>
            </w:r>
            <w:r>
              <w:t>各</w:t>
            </w:r>
            <w:r>
              <w:rPr>
                <w:rFonts w:hint="eastAsia"/>
              </w:rPr>
              <w:t>班级的</w:t>
            </w:r>
            <w:r>
              <w:t xml:space="preserve">总成绩及各科目的超均率。 </w:t>
            </w:r>
          </w:p>
          <w:p>
            <w:r>
              <w:rPr>
                <w:rFonts w:hint="eastAsia"/>
              </w:rPr>
              <w:t>（</w:t>
            </w:r>
            <w:r>
              <w:t>3）支持以表格形式展示</w:t>
            </w:r>
            <w:r>
              <w:rPr>
                <w:rFonts w:hint="eastAsia"/>
              </w:rPr>
              <w:t>学校</w:t>
            </w:r>
            <w:r>
              <w:t>各</w:t>
            </w:r>
            <w:r>
              <w:rPr>
                <w:rFonts w:hint="eastAsia"/>
              </w:rPr>
              <w:t>班级</w:t>
            </w:r>
            <w:r>
              <w:t>的超均率数据明细，支持输入关键字进行</w:t>
            </w:r>
            <w:r>
              <w:rPr>
                <w:rFonts w:hint="eastAsia"/>
              </w:rPr>
              <w:t>班级</w:t>
            </w:r>
            <w:r>
              <w:t>索引或键入固定值进行范围查询</w:t>
            </w:r>
            <w:r>
              <w:rPr>
                <w:rFonts w:hint="eastAsia"/>
              </w:rPr>
              <w:t>。</w:t>
            </w:r>
          </w:p>
          <w:p>
            <w:r>
              <w:t>3、贡献率和命中率</w:t>
            </w:r>
          </w:p>
          <w:p>
            <w:r>
              <w:rPr>
                <w:rFonts w:hint="eastAsia"/>
              </w:rPr>
              <w:t>（</w:t>
            </w:r>
            <w:r>
              <w:t>1）支持统计并展示各</w:t>
            </w:r>
            <w:r>
              <w:rPr>
                <w:rFonts w:hint="eastAsia"/>
              </w:rPr>
              <w:t>班级</w:t>
            </w:r>
            <w:r>
              <w:t>及各科目对应的总成绩上线人数、单科上线人数、双上线人数、贡献率、命中率和综合评级等信息；</w:t>
            </w:r>
          </w:p>
          <w:p>
            <w:r>
              <w:rPr>
                <w:rFonts w:hint="eastAsia"/>
              </w:rPr>
              <w:t>（</w:t>
            </w:r>
            <w:r>
              <w:t>2）支持以柱状图形式展示各</w:t>
            </w:r>
            <w:r>
              <w:rPr>
                <w:rFonts w:hint="eastAsia"/>
              </w:rPr>
              <w:t>班级</w:t>
            </w:r>
            <w:r>
              <w:t>及各科目对应的贡献率和命中率；</w:t>
            </w:r>
          </w:p>
          <w:p>
            <w:r>
              <w:rPr>
                <w:rFonts w:hint="eastAsia"/>
              </w:rPr>
              <w:t>（</w:t>
            </w:r>
            <w:r>
              <w:t>3）支持以表格形式展示各</w:t>
            </w:r>
            <w:r>
              <w:rPr>
                <w:rFonts w:hint="eastAsia"/>
              </w:rPr>
              <w:t>班级</w:t>
            </w:r>
            <w:r>
              <w:t>的贡献率和命中率数据明细，支持输入关键字进行</w:t>
            </w:r>
            <w:r>
              <w:rPr>
                <w:rFonts w:hint="eastAsia"/>
              </w:rPr>
              <w:t>班级</w:t>
            </w:r>
            <w:r>
              <w:t>索引或键入固定值进行范围查询；</w:t>
            </w:r>
          </w:p>
          <w:p>
            <w:pPr>
              <w:rPr>
                <w:rFonts w:cs="宋体"/>
                <w:color w:val="000000"/>
                <w:kern w:val="0"/>
              </w:rPr>
            </w:pPr>
            <w:r>
              <w:rPr>
                <w:rFonts w:hint="eastAsia"/>
              </w:rPr>
              <w:t>（</w:t>
            </w:r>
            <w:r>
              <w:t>4）支持依据贡献率和命中率对学校各科目进行综合评级。</w:t>
            </w:r>
          </w:p>
        </w:tc>
        <w:tc>
          <w:tcPr>
            <w:tcW w:w="368" w:type="pct"/>
            <w:vMerge w:val="continue"/>
            <w:vAlign w:val="center"/>
          </w:tcPr>
          <w:p>
            <w:pPr>
              <w:jc w:val="center"/>
            </w:pPr>
          </w:p>
        </w:tc>
        <w:tc>
          <w:tcPr>
            <w:tcW w:w="368" w:type="pct"/>
            <w:vMerge w:val="continue"/>
            <w:vAlign w:val="center"/>
          </w:tcPr>
          <w:p>
            <w:pPr>
              <w:jc w:val="center"/>
            </w:pPr>
          </w:p>
        </w:tc>
        <w:tc>
          <w:tcPr>
            <w:tcW w:w="364" w:type="pct"/>
            <w:vMerge w:val="continue"/>
            <w:vAlign w:val="center"/>
          </w:tcPr>
          <w:p>
            <w:pPr>
              <w:rPr>
                <w:szCs w:val="21"/>
              </w:rPr>
            </w:pPr>
          </w:p>
        </w:tc>
        <w:tc>
          <w:tcPr>
            <w:tcW w:w="371" w:type="pct"/>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5" w:type="pct"/>
            <w:vMerge w:val="continue"/>
            <w:shd w:val="clear" w:color="auto" w:fill="auto"/>
            <w:vAlign w:val="center"/>
          </w:tcPr>
          <w:p/>
        </w:tc>
        <w:tc>
          <w:tcPr>
            <w:tcW w:w="368" w:type="pct"/>
            <w:vMerge w:val="continue"/>
            <w:vAlign w:val="center"/>
          </w:tcPr>
          <w:p/>
        </w:tc>
        <w:tc>
          <w:tcPr>
            <w:tcW w:w="368" w:type="pct"/>
            <w:shd w:val="clear" w:color="auto" w:fill="auto"/>
            <w:vAlign w:val="center"/>
          </w:tcPr>
          <w:p>
            <w:pPr>
              <w:rPr>
                <w:rFonts w:cs="宋体"/>
                <w:kern w:val="0"/>
              </w:rPr>
            </w:pPr>
            <w:r>
              <w:rPr>
                <w:rFonts w:hint="eastAsia"/>
              </w:rPr>
              <w:t>综合指标分析</w:t>
            </w:r>
          </w:p>
        </w:tc>
        <w:tc>
          <w:tcPr>
            <w:tcW w:w="2428" w:type="pct"/>
            <w:shd w:val="clear" w:color="auto" w:fill="auto"/>
            <w:vAlign w:val="center"/>
          </w:tcPr>
          <w:p>
            <w:r>
              <w:t>1、综合评价统计</w:t>
            </w:r>
          </w:p>
          <w:p>
            <w:pPr>
              <w:rPr>
                <w:b w:val="0"/>
                <w:bCs w:val="0"/>
              </w:rPr>
            </w:pPr>
            <w:r>
              <w:rPr>
                <w:rFonts w:hint="eastAsia"/>
              </w:rPr>
              <w:t>▲（</w:t>
            </w:r>
            <w:r>
              <w:t>1）支持通过配置各分析维度权重，综合评价</w:t>
            </w:r>
            <w:r>
              <w:rPr>
                <w:rFonts w:hint="eastAsia"/>
              </w:rPr>
              <w:t>学校各班级</w:t>
            </w:r>
            <w:r>
              <w:t>学业水平；</w:t>
            </w:r>
            <w:r>
              <w:rPr>
                <w:rFonts w:hint="eastAsia" w:cs="宋体"/>
                <w:b w:val="0"/>
                <w:bCs w:val="0"/>
                <w:color w:val="000000"/>
                <w:kern w:val="0"/>
              </w:rPr>
              <w:t>（须以真实应用系统对软件应用功能进行演示）</w:t>
            </w:r>
          </w:p>
          <w:p>
            <w:r>
              <w:rPr>
                <w:rFonts w:hint="eastAsia"/>
              </w:rPr>
              <w:t>（</w:t>
            </w:r>
            <w:r>
              <w:t>2）支持展示各</w:t>
            </w:r>
            <w:r>
              <w:rPr>
                <w:rFonts w:hint="eastAsia"/>
              </w:rPr>
              <w:t>班级</w:t>
            </w:r>
            <w:r>
              <w:t>的综合评价得分以及各学科的综合评价得分</w:t>
            </w:r>
            <w:r>
              <w:rPr>
                <w:rFonts w:hint="eastAsia"/>
              </w:rPr>
              <w:t>。</w:t>
            </w:r>
          </w:p>
          <w:p>
            <w:r>
              <w:t>2、各</w:t>
            </w:r>
            <w:r>
              <w:rPr>
                <w:rFonts w:hint="eastAsia"/>
              </w:rPr>
              <w:t>班级</w:t>
            </w:r>
            <w:r>
              <w:t>综合评价得分情况</w:t>
            </w:r>
          </w:p>
          <w:p>
            <w:r>
              <w:rPr>
                <w:rFonts w:hint="eastAsia"/>
              </w:rPr>
              <w:t>（</w:t>
            </w:r>
            <w:r>
              <w:t>1）支持以柱状图的形式展示各</w:t>
            </w:r>
            <w:r>
              <w:rPr>
                <w:rFonts w:hint="eastAsia"/>
              </w:rPr>
              <w:t>班级</w:t>
            </w:r>
            <w:r>
              <w:t>综合评价得分；</w:t>
            </w:r>
          </w:p>
          <w:p>
            <w:pPr>
              <w:rPr>
                <w:rFonts w:cs="宋体"/>
                <w:color w:val="000000"/>
                <w:kern w:val="0"/>
              </w:rPr>
            </w:pPr>
            <w:r>
              <w:rPr>
                <w:rFonts w:hint="eastAsia"/>
              </w:rPr>
              <w:t>（</w:t>
            </w:r>
            <w:r>
              <w:t>2）支持以表格的形式展示各</w:t>
            </w:r>
            <w:r>
              <w:rPr>
                <w:rFonts w:hint="eastAsia"/>
              </w:rPr>
              <w:t>班级</w:t>
            </w:r>
            <w:r>
              <w:t>以各学科综合能力得分明细，支持输入关键字进行班级索引或键入固定值进行范围查询</w:t>
            </w:r>
            <w:r>
              <w:rPr>
                <w:rFonts w:hint="eastAsia"/>
              </w:rPr>
              <w:t>。</w:t>
            </w:r>
          </w:p>
        </w:tc>
        <w:tc>
          <w:tcPr>
            <w:tcW w:w="368" w:type="pct"/>
            <w:vMerge w:val="continue"/>
            <w:vAlign w:val="center"/>
          </w:tcPr>
          <w:p>
            <w:pPr>
              <w:jc w:val="center"/>
            </w:pPr>
          </w:p>
        </w:tc>
        <w:tc>
          <w:tcPr>
            <w:tcW w:w="368" w:type="pct"/>
            <w:vMerge w:val="continue"/>
            <w:vAlign w:val="center"/>
          </w:tcPr>
          <w:p>
            <w:pPr>
              <w:jc w:val="center"/>
            </w:pPr>
          </w:p>
        </w:tc>
        <w:tc>
          <w:tcPr>
            <w:tcW w:w="364" w:type="pct"/>
            <w:vMerge w:val="continue"/>
            <w:vAlign w:val="center"/>
          </w:tcPr>
          <w:p>
            <w:pPr>
              <w:rPr>
                <w:szCs w:val="21"/>
              </w:rPr>
            </w:pPr>
          </w:p>
        </w:tc>
        <w:tc>
          <w:tcPr>
            <w:tcW w:w="371" w:type="pct"/>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65" w:type="pct"/>
            <w:vMerge w:val="continue"/>
            <w:shd w:val="clear" w:color="auto" w:fill="auto"/>
            <w:vAlign w:val="center"/>
          </w:tcPr>
          <w:p/>
        </w:tc>
        <w:tc>
          <w:tcPr>
            <w:tcW w:w="368" w:type="pct"/>
            <w:vAlign w:val="center"/>
          </w:tcPr>
          <w:p>
            <w:r>
              <w:rPr>
                <w:rFonts w:hint="eastAsia"/>
              </w:rPr>
              <w:t>报告演示</w:t>
            </w:r>
          </w:p>
        </w:tc>
        <w:tc>
          <w:tcPr>
            <w:tcW w:w="368" w:type="pct"/>
            <w:shd w:val="clear" w:color="auto" w:fill="auto"/>
            <w:vAlign w:val="center"/>
          </w:tcPr>
          <w:p>
            <w:r>
              <w:rPr>
                <w:rFonts w:hint="eastAsia"/>
              </w:rPr>
              <w:t>报告内容演示</w:t>
            </w:r>
          </w:p>
        </w:tc>
        <w:tc>
          <w:tcPr>
            <w:tcW w:w="2428" w:type="pct"/>
            <w:shd w:val="clear" w:color="auto" w:fill="auto"/>
            <w:vAlign w:val="center"/>
          </w:tcPr>
          <w:p>
            <w:r>
              <w:rPr>
                <w:rFonts w:hint="eastAsia"/>
              </w:rPr>
              <w:t>▲投标人应在现场对各自所投系统生成的报告进行展示，报告内容应符合以上教学评价各项要求；</w:t>
            </w:r>
            <w:r>
              <w:rPr>
                <w:rFonts w:hint="eastAsia"/>
                <w:b w:val="0"/>
                <w:bCs w:val="0"/>
              </w:rPr>
              <w:t>（须以真实应用系统生成的报告进行内容展示）</w:t>
            </w:r>
          </w:p>
        </w:tc>
        <w:tc>
          <w:tcPr>
            <w:tcW w:w="368" w:type="pct"/>
            <w:vMerge w:val="continue"/>
            <w:vAlign w:val="center"/>
          </w:tcPr>
          <w:p>
            <w:pPr>
              <w:jc w:val="center"/>
            </w:pPr>
          </w:p>
        </w:tc>
        <w:tc>
          <w:tcPr>
            <w:tcW w:w="368" w:type="pct"/>
            <w:vMerge w:val="continue"/>
            <w:vAlign w:val="center"/>
          </w:tcPr>
          <w:p>
            <w:pPr>
              <w:jc w:val="center"/>
            </w:pPr>
          </w:p>
        </w:tc>
        <w:tc>
          <w:tcPr>
            <w:tcW w:w="364" w:type="pct"/>
            <w:vMerge w:val="continue"/>
            <w:vAlign w:val="center"/>
          </w:tcPr>
          <w:p>
            <w:pPr>
              <w:rPr>
                <w:szCs w:val="21"/>
              </w:rPr>
            </w:pPr>
          </w:p>
        </w:tc>
        <w:tc>
          <w:tcPr>
            <w:tcW w:w="371" w:type="pct"/>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65" w:type="pct"/>
            <w:shd w:val="clear" w:color="auto" w:fill="auto"/>
            <w:vAlign w:val="center"/>
          </w:tcPr>
          <w:p>
            <w:pPr>
              <w:jc w:val="center"/>
            </w:pPr>
            <w:r>
              <w:rPr>
                <w:rFonts w:hint="eastAsia"/>
              </w:rPr>
              <w:t>4</w:t>
            </w:r>
          </w:p>
        </w:tc>
        <w:tc>
          <w:tcPr>
            <w:tcW w:w="368" w:type="pct"/>
            <w:vAlign w:val="center"/>
          </w:tcPr>
          <w:p>
            <w:pPr>
              <w:jc w:val="center"/>
              <w:rPr>
                <w:sz w:val="20"/>
                <w:szCs w:val="20"/>
              </w:rPr>
            </w:pPr>
            <w:r>
              <w:rPr>
                <w:rFonts w:hint="eastAsia"/>
                <w:lang w:bidi="ar"/>
              </w:rPr>
              <w:t>平台对接</w:t>
            </w:r>
          </w:p>
        </w:tc>
        <w:tc>
          <w:tcPr>
            <w:tcW w:w="4267" w:type="pct"/>
            <w:gridSpan w:val="6"/>
            <w:shd w:val="clear" w:color="auto" w:fill="auto"/>
            <w:noWrap/>
            <w:vAlign w:val="center"/>
          </w:tcPr>
          <w:p>
            <w:pPr>
              <w:rPr>
                <w:szCs w:val="21"/>
              </w:rPr>
            </w:pPr>
            <w:r>
              <w:rPr>
                <w:rFonts w:hint="eastAsia"/>
                <w:szCs w:val="21"/>
              </w:rPr>
              <w:t>要求实现与渭南市高考综合改革管理与服务平台实现无缝对接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33" w:type="pct"/>
            <w:gridSpan w:val="2"/>
            <w:shd w:val="clear" w:color="auto" w:fill="auto"/>
            <w:vAlign w:val="center"/>
          </w:tcPr>
          <w:p>
            <w:pPr>
              <w:jc w:val="center"/>
              <w:rPr>
                <w:rFonts w:hint="eastAsia"/>
                <w:lang w:bidi="ar"/>
              </w:rPr>
            </w:pPr>
            <w:r>
              <w:rPr>
                <w:rFonts w:hint="eastAsia"/>
                <w:lang w:bidi="ar"/>
              </w:rPr>
              <w:t>合计</w:t>
            </w:r>
          </w:p>
        </w:tc>
        <w:tc>
          <w:tcPr>
            <w:tcW w:w="4267" w:type="pct"/>
            <w:gridSpan w:val="6"/>
            <w:shd w:val="clear" w:color="auto" w:fill="auto"/>
            <w:noWrap/>
            <w:vAlign w:val="center"/>
          </w:tcPr>
          <w:p>
            <w:pPr>
              <w:rPr>
                <w:rFonts w:hint="eastAsia"/>
                <w:szCs w:val="21"/>
              </w:rPr>
            </w:pPr>
          </w:p>
        </w:tc>
      </w:tr>
    </w:tbl>
    <w:p/>
    <w:sectPr>
      <w:footerReference r:id="rId3" w:type="default"/>
      <w:pgSz w:w="11906" w:h="16838"/>
      <w:pgMar w:top="1134" w:right="1134" w:bottom="1134" w:left="1418"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9593248"/>
      <w:docPartObj>
        <w:docPartGallery w:val="autotext"/>
      </w:docPartObj>
    </w:sdtPr>
    <w:sdtContent>
      <w:p>
        <w:pPr>
          <w:pStyle w:val="4"/>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RhZDNmMzZjODA2NGY1ZjA5ODU3MjQwMDE4NDgwNTQifQ=="/>
  </w:docVars>
  <w:rsids>
    <w:rsidRoot w:val="000D6AC6"/>
    <w:rsid w:val="00021790"/>
    <w:rsid w:val="000C5EC1"/>
    <w:rsid w:val="000D6AC6"/>
    <w:rsid w:val="001B14FD"/>
    <w:rsid w:val="001E0EF1"/>
    <w:rsid w:val="001E192A"/>
    <w:rsid w:val="001E5D7D"/>
    <w:rsid w:val="002168B1"/>
    <w:rsid w:val="00232843"/>
    <w:rsid w:val="0029148C"/>
    <w:rsid w:val="003208D9"/>
    <w:rsid w:val="003366E9"/>
    <w:rsid w:val="003458F3"/>
    <w:rsid w:val="00387966"/>
    <w:rsid w:val="004A4127"/>
    <w:rsid w:val="004A6555"/>
    <w:rsid w:val="004B321A"/>
    <w:rsid w:val="004F2C66"/>
    <w:rsid w:val="00530582"/>
    <w:rsid w:val="0053303D"/>
    <w:rsid w:val="0058755D"/>
    <w:rsid w:val="005F468C"/>
    <w:rsid w:val="00602EEE"/>
    <w:rsid w:val="006917FD"/>
    <w:rsid w:val="00767B2A"/>
    <w:rsid w:val="007F7FC1"/>
    <w:rsid w:val="00857EC4"/>
    <w:rsid w:val="008D467E"/>
    <w:rsid w:val="008D4E57"/>
    <w:rsid w:val="009A59F8"/>
    <w:rsid w:val="009C3368"/>
    <w:rsid w:val="00AB0BC4"/>
    <w:rsid w:val="00B04472"/>
    <w:rsid w:val="00B204F0"/>
    <w:rsid w:val="00B22594"/>
    <w:rsid w:val="00C3283D"/>
    <w:rsid w:val="00CB42C4"/>
    <w:rsid w:val="00CF0FC5"/>
    <w:rsid w:val="00D067A5"/>
    <w:rsid w:val="00D530CF"/>
    <w:rsid w:val="00DB07FA"/>
    <w:rsid w:val="00DB718C"/>
    <w:rsid w:val="00DD3D6F"/>
    <w:rsid w:val="00E731BD"/>
    <w:rsid w:val="00E907AA"/>
    <w:rsid w:val="00F24A15"/>
    <w:rsid w:val="00F77590"/>
    <w:rsid w:val="00FC7E1E"/>
    <w:rsid w:val="00FD3638"/>
    <w:rsid w:val="09743FB9"/>
    <w:rsid w:val="159B0BBC"/>
    <w:rsid w:val="3D7D5F0C"/>
    <w:rsid w:val="41767160"/>
    <w:rsid w:val="6C203509"/>
    <w:rsid w:val="7CE93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宋体" w:hAnsi="宋体" w:eastAsia="宋体"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Normal Indent"/>
    <w:basedOn w:val="1"/>
    <w:autoRedefine/>
    <w:qFormat/>
    <w:uiPriority w:val="0"/>
    <w:pPr>
      <w:autoSpaceDE w:val="0"/>
      <w:autoSpaceDN w:val="0"/>
      <w:ind w:firstLine="420" w:firstLineChars="200"/>
    </w:pPr>
    <w:rPr>
      <w:rFonts w:cs="宋体"/>
      <w:kern w:val="0"/>
      <w:sz w:val="22"/>
      <w:szCs w:val="21"/>
      <w:lang w:eastAsia="en-US"/>
    </w:rPr>
  </w:style>
  <w:style w:type="paragraph" w:styleId="4">
    <w:name w:val="footer"/>
    <w:basedOn w:val="1"/>
    <w:link w:val="11"/>
    <w:autoRedefine/>
    <w:unhideWhenUsed/>
    <w:qFormat/>
    <w:uiPriority w:val="99"/>
    <w:pPr>
      <w:tabs>
        <w:tab w:val="center" w:pos="4153"/>
        <w:tab w:val="right" w:pos="8306"/>
      </w:tabs>
      <w:snapToGrid w:val="0"/>
      <w:jc w:val="center"/>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autoRedefine/>
    <w:qFormat/>
    <w:uiPriority w:val="9"/>
    <w:rPr>
      <w:b/>
      <w:bCs/>
      <w:kern w:val="44"/>
      <w:sz w:val="44"/>
      <w:szCs w:val="44"/>
    </w:rPr>
  </w:style>
  <w:style w:type="character" w:customStyle="1" w:styleId="10">
    <w:name w:val="页眉 字符"/>
    <w:basedOn w:val="8"/>
    <w:link w:val="5"/>
    <w:autoRedefine/>
    <w:qFormat/>
    <w:uiPriority w:val="99"/>
    <w:rPr>
      <w:sz w:val="18"/>
      <w:szCs w:val="18"/>
    </w:rPr>
  </w:style>
  <w:style w:type="character" w:customStyle="1" w:styleId="11">
    <w:name w:val="页脚 字符"/>
    <w:basedOn w:val="8"/>
    <w:link w:val="4"/>
    <w:autoRedefine/>
    <w:qFormat/>
    <w:uiPriority w:val="99"/>
    <w:rPr>
      <w:rFonts w:ascii="宋体" w:hAnsi="宋体" w:eastAsia="宋体"/>
      <w:kern w:val="2"/>
      <w:sz w:val="18"/>
      <w:szCs w:val="18"/>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468</Words>
  <Characters>2674</Characters>
  <Lines>22</Lines>
  <Paragraphs>6</Paragraphs>
  <TotalTime>38</TotalTime>
  <ScaleCrop>false</ScaleCrop>
  <LinksUpToDate>false</LinksUpToDate>
  <CharactersWithSpaces>3136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2024-01-10T09:03:00Z</dcterms:created>
  <dc:creator>Administrator</dc:creator>
  <cp:lastModifiedBy>沉浮</cp:lastModifiedBy>
  <dcterms:modified xsi:type="dcterms:W3CDTF">2024-04-29T08:10:41Z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4DB6C16AC2BB4F679B842C7C730C81DD_13</vt:lpwstr>
  </property>
</Properties>
</file>