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版本号：ZCSP-大荔县-2025-0017120251013001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大荔县农业投入品监管系统项目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ZCSP-大荔县-2025-00171</w:t>
      </w:r>
      <w:r>
        <w:br/>
      </w:r>
      <w:r>
        <w:br/>
      </w:r>
      <w:r>
        <w:br/>
      </w:r>
    </w:p>
    <w:p>
      <w:pPr>
        <w:pStyle w:val="null3"/>
        <w:jc w:val="center"/>
        <w:outlineLvl w:val="2"/>
      </w:pPr>
      <w:r>
        <w:rPr>
          <w:rFonts w:ascii="仿宋_GB2312" w:hAnsi="仿宋_GB2312" w:cs="仿宋_GB2312" w:eastAsia="仿宋_GB2312"/>
          <w:sz w:val="28"/>
          <w:b/>
        </w:rPr>
        <w:t>大荔县农业农村局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大荔县农业农村局</w:t>
      </w:r>
      <w:r>
        <w:rPr>
          <w:rFonts w:ascii="仿宋_GB2312" w:hAnsi="仿宋_GB2312" w:cs="仿宋_GB2312" w:eastAsia="仿宋_GB2312"/>
        </w:rPr>
        <w:t>委托，拟对</w:t>
      </w:r>
      <w:r>
        <w:rPr>
          <w:rFonts w:ascii="仿宋_GB2312" w:hAnsi="仿宋_GB2312" w:cs="仿宋_GB2312" w:eastAsia="仿宋_GB2312"/>
        </w:rPr>
        <w:t>大荔县农业投入品监管系统项目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ZCSP-大荔县-2025-00171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大荔县农业投入品监管系统项目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基于现有陕西省农业投入品监管系统，推进我县农资门店信息化网格建设，本项目采购监管系统设备1批。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采购包1（大荔县农业投入品监管系统项目）：属于专门面向中小企业采购。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2、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3、投标保证金凭证：投标保证金凭证；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大荔县北环路78号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李海峰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0913-3261308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13891466618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采购包1：2,929,000.00元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代理服务费由中标（成交）供应商在领取中标（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大荔县农业农村局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地址：陕西嘉信至诚项目管理有限公司后二楼开标室（陕西省渭南市临渭区解放路与双王街十字东南角商贸楼院内）</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基于现有陕西省农业投入品监管系统，推进我县农资门店信息化网格建设，本项目采购监管系统设备1批。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2,929,000.00</w:t>
      </w:r>
    </w:p>
    <w:p>
      <w:pPr>
        <w:pStyle w:val="null3"/>
      </w:pPr>
      <w:r>
        <w:rPr>
          <w:rFonts w:ascii="仿宋_GB2312" w:hAnsi="仿宋_GB2312" w:cs="仿宋_GB2312" w:eastAsia="仿宋_GB2312"/>
        </w:rPr>
        <w:t>采购包最高限价（元）: 2,929,000.00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大荔县农业投入品监管系统项目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2,929,000.00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标的名称：大荔县农业投入品监管系统项目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45"/>
              <w:gridCol w:w="237"/>
              <w:gridCol w:w="2034"/>
            </w:tblGrid>
            <w:tr>
              <w:tc>
                <w:tcPr>
                  <w:tcW w:type="dxa" w:w="2516"/>
                  <w:gridSpan w:val="3"/>
                  <w:tcBorders>
                    <w:top w:val="singl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b/>
                    </w:rPr>
                    <w:t>按每一户为标准，共计689户/每一标准户</w:t>
                  </w:r>
                  <w:r>
                    <w:rPr>
                      <w:rFonts w:ascii="仿宋_GB2312" w:hAnsi="仿宋_GB2312" w:cs="仿宋_GB2312" w:eastAsia="仿宋_GB2312"/>
                      <w:sz w:val="24"/>
                      <w:b/>
                    </w:rPr>
                    <w:t>参数</w:t>
                  </w:r>
                </w:p>
              </w:tc>
            </w:tr>
            <w:tr>
              <w:tc>
                <w:tcPr>
                  <w:tcW w:type="dxa" w:w="2516"/>
                  <w:gridSpan w:val="3"/>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left"/>
                  </w:pPr>
                  <w:r>
                    <w:rPr>
                      <w:rFonts w:ascii="仿宋_GB2312" w:hAnsi="仿宋_GB2312" w:cs="仿宋_GB2312" w:eastAsia="仿宋_GB2312"/>
                      <w:sz w:val="24"/>
                    </w:rPr>
                    <w:t>智能终端设备应具备农资扫码出入库、农资销售实时登记，农资实时备案、农户实名制匹配建档、农药处方在线开具等功能设备管理系统应具备各类报表汇总、查看功能，包括且不限于库存信息、出入库信息、建档人员信息、订单总量、销售额、农资登记总量等。设备应具备与省级平台互联互通能力，能实现农户人像档案库自动在线识别分析、农资入库与登记备案库实时在线比对等功能，具备数据对外共享报送能力智能终端设备应具备农资扫码出入库、农资销售实时登记，农资实时备案、农户实名制匹配建档、农药处方在线开具等功能设备管理系统应具备各类报表汇总、查看功能，包括且不限于库存信息、出入库信息、建档人员信息、订单总量、销售额、农资登记总量等。设备应具备与省级平台互联互通能力，能实现农户人像档案库自动在线识别分析、农资入库与登记备案库实时在线比对等功能，具备数据对外共享报送能力。</w:t>
                  </w:r>
                </w:p>
              </w:tc>
            </w:tr>
            <w:tr>
              <w:tc>
                <w:tcPr>
                  <w:tcW w:type="dxa" w:w="2516"/>
                  <w:gridSpan w:val="3"/>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智能终端设备硬件要求如下</w:t>
                  </w:r>
                </w:p>
              </w:tc>
            </w:tr>
            <w:tr>
              <w:tc>
                <w:tcPr>
                  <w:tcW w:type="dxa" w:w="245"/>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指标项</w:t>
                  </w:r>
                </w:p>
              </w:tc>
              <w:tc>
                <w:tcPr>
                  <w:tcW w:type="dxa" w:w="2271"/>
                  <w:gridSpan w:val="2"/>
                  <w:tcBorders>
                    <w:top w:val="singl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技术要求</w:t>
                  </w:r>
                </w:p>
              </w:tc>
            </w:tr>
            <w:tr>
              <w:tc>
                <w:tcPr>
                  <w:tcW w:type="dxa" w:w="245"/>
                  <w:vMerge w:val="restart"/>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shd w:fill="FFFFFF" w:val="clear"/>
                    </w:rPr>
                    <w:t>销售</w:t>
                  </w:r>
                </w:p>
                <w:p>
                  <w:pPr>
                    <w:pStyle w:val="null3"/>
                    <w:jc w:val="center"/>
                  </w:pPr>
                  <w:r>
                    <w:rPr>
                      <w:rFonts w:ascii="仿宋_GB2312" w:hAnsi="仿宋_GB2312" w:cs="仿宋_GB2312" w:eastAsia="仿宋_GB2312"/>
                      <w:sz w:val="24"/>
                      <w:shd w:fill="FFFFFF" w:val="clear"/>
                    </w:rPr>
                    <w:t>一体机</w:t>
                  </w:r>
                </w:p>
                <w:p>
                  <w:pPr>
                    <w:pStyle w:val="null3"/>
                    <w:jc w:val="center"/>
                  </w:pPr>
                  <w:r>
                    <w:rPr>
                      <w:rFonts w:ascii="仿宋_GB2312" w:hAnsi="仿宋_GB2312" w:cs="仿宋_GB2312" w:eastAsia="仿宋_GB2312"/>
                      <w:sz w:val="24"/>
                      <w:shd w:fill="FFFFFF" w:val="clear"/>
                    </w:rPr>
                    <w:t>设备</w:t>
                  </w:r>
                </w:p>
                <w:p>
                  <w:pPr>
                    <w:pStyle w:val="null3"/>
                    <w:jc w:val="center"/>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本项为核心产品</w:t>
                  </w:r>
                </w:p>
                <w:p>
                  <w:pPr>
                    <w:pStyle w:val="null3"/>
                    <w:jc w:val="center"/>
                  </w:pPr>
                </w:p>
              </w:tc>
              <w:tc>
                <w:tcPr>
                  <w:tcW w:type="dxa" w:w="237"/>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性能</w:t>
                  </w:r>
                </w:p>
              </w:tc>
              <w:tc>
                <w:tcPr>
                  <w:tcW w:type="dxa" w:w="2034"/>
                  <w:tcBorders>
                    <w:top w:val="singl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处理器：</w:t>
                  </w:r>
                  <w:r>
                    <w:rPr>
                      <w:rFonts w:ascii="仿宋_GB2312" w:hAnsi="仿宋_GB2312" w:cs="仿宋_GB2312" w:eastAsia="仿宋_GB2312"/>
                      <w:sz w:val="24"/>
                      <w:shd w:fill="FFFFFF" w:val="clear"/>
                    </w:rPr>
                    <w:t>A</w:t>
                  </w:r>
                  <w:r>
                    <w:rPr>
                      <w:rFonts w:ascii="仿宋_GB2312" w:hAnsi="仿宋_GB2312" w:cs="仿宋_GB2312" w:eastAsia="仿宋_GB2312"/>
                      <w:sz w:val="24"/>
                      <w:shd w:fill="FFFFFF" w:val="clear"/>
                    </w:rPr>
                    <w:t>RM 64位4核处理器，主频2.0GHz</w:t>
                  </w:r>
                  <w:r>
                    <w:rPr>
                      <w:rFonts w:ascii="仿宋_GB2312" w:hAnsi="仿宋_GB2312" w:cs="仿宋_GB2312" w:eastAsia="仿宋_GB2312"/>
                      <w:sz w:val="24"/>
                      <w:shd w:fill="FFFFFF" w:val="clear"/>
                    </w:rPr>
                    <w:t>及以上</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.操作系统:Android 11.X安全支付系统</w:t>
                  </w:r>
                  <w:r>
                    <w:rPr>
                      <w:rFonts w:ascii="仿宋_GB2312" w:hAnsi="仿宋_GB2312" w:cs="仿宋_GB2312" w:eastAsia="仿宋_GB2312"/>
                      <w:sz w:val="24"/>
                      <w:shd w:fill="FFFFFF" w:val="clear"/>
                    </w:rPr>
                    <w:t>及以上</w:t>
                  </w:r>
                </w:p>
                <w:p>
                  <w:pPr>
                    <w:pStyle w:val="null3"/>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存储</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2GB RAM + 16GB FLASH</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可</w:t>
                  </w:r>
                  <w:r>
                    <w:rPr>
                      <w:rFonts w:ascii="仿宋_GB2312" w:hAnsi="仿宋_GB2312" w:cs="仿宋_GB2312" w:eastAsia="仿宋_GB2312"/>
                      <w:sz w:val="24"/>
                      <w:shd w:fill="FFFFFF" w:val="clear"/>
                    </w:rPr>
                    <w:t>升级为</w:t>
                  </w:r>
                  <w:r>
                    <w:rPr>
                      <w:rFonts w:ascii="仿宋_GB2312" w:hAnsi="仿宋_GB2312" w:cs="仿宋_GB2312" w:eastAsia="仿宋_GB2312"/>
                      <w:sz w:val="24"/>
                      <w:shd w:fill="FFFFFF" w:val="clear"/>
                    </w:rPr>
                    <w:t>4GB RAM + 32GB FLASH</w:t>
                  </w:r>
                </w:p>
                <w:p>
                  <w:pPr>
                    <w:pStyle w:val="null3"/>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.主屏:</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英寸，分辨率</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1366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768</w:t>
                  </w:r>
                  <w:r>
                    <w:rPr>
                      <w:rFonts w:ascii="仿宋_GB2312" w:hAnsi="仿宋_GB2312" w:cs="仿宋_GB2312" w:eastAsia="仿宋_GB2312"/>
                      <w:sz w:val="24"/>
                      <w:shd w:fill="FFFFFF" w:val="clear"/>
                    </w:rPr>
                    <w:t>，可以升级为</w:t>
                  </w:r>
                  <w:r>
                    <w:rPr>
                      <w:rFonts w:ascii="仿宋_GB2312" w:hAnsi="仿宋_GB2312" w:cs="仿宋_GB2312" w:eastAsia="仿宋_GB2312"/>
                      <w:sz w:val="24"/>
                      <w:shd w:fill="FFFFFF" w:val="clear"/>
                    </w:rPr>
                    <w:t>分辨率</w:t>
                  </w:r>
                  <w:r>
                    <w:rPr>
                      <w:rFonts w:ascii="仿宋_GB2312" w:hAnsi="仿宋_GB2312" w:cs="仿宋_GB2312" w:eastAsia="仿宋_GB2312"/>
                      <w:sz w:val="24"/>
                      <w:shd w:fill="FFFFFF" w:val="clear"/>
                    </w:rPr>
                    <w:t>1920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1080</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.副屏：</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10英寸，分辨率1280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800</w:t>
                  </w:r>
                  <w:r>
                    <w:rPr>
                      <w:rFonts w:ascii="仿宋_GB2312" w:hAnsi="仿宋_GB2312" w:cs="仿宋_GB2312" w:eastAsia="仿宋_GB2312"/>
                      <w:sz w:val="24"/>
                      <w:shd w:fill="FFFFFF" w:val="clear"/>
                    </w:rPr>
                    <w:t>及以上</w:t>
                  </w:r>
                </w:p>
                <w:p>
                  <w:pPr>
                    <w:pStyle w:val="null3"/>
                  </w:pPr>
                  <w:r>
                    <w:rPr>
                      <w:rFonts w:ascii="仿宋_GB2312" w:hAnsi="仿宋_GB2312" w:cs="仿宋_GB2312" w:eastAsia="仿宋_GB2312"/>
                      <w:sz w:val="24"/>
                      <w:shd w:fill="FFFFFF" w:val="clear"/>
                    </w:rPr>
                    <w:t>6.接口要求</w:t>
                  </w:r>
                  <w:r>
                    <w:rPr>
                      <w:rFonts w:ascii="仿宋_GB2312" w:hAnsi="仿宋_GB2312" w:cs="仿宋_GB2312" w:eastAsia="仿宋_GB2312"/>
                      <w:sz w:val="24"/>
                      <w:shd w:fill="FFFFFF" w:val="clear"/>
                    </w:rPr>
                    <w:t>:Micro SD（TF）卡槽</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Micro USB调试口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1个RJ22串口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1个RJ45以太网接口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1个RJ11钱箱接口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1个耳机口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4个USB Type-A口</w:t>
                  </w:r>
                </w:p>
                <w:p>
                  <w:pPr>
                    <w:pStyle w:val="null3"/>
                  </w:pPr>
                  <w:r>
                    <w:rPr>
                      <w:rFonts w:ascii="仿宋_GB2312" w:hAnsi="仿宋_GB2312" w:cs="仿宋_GB2312" w:eastAsia="仿宋_GB2312"/>
                      <w:sz w:val="24"/>
                      <w:shd w:fill="FFFFFF" w:val="clear"/>
                    </w:rPr>
                    <w:t>7.</w:t>
                  </w:r>
                  <w:r>
                    <w:rPr>
                      <w:rFonts w:ascii="仿宋_GB2312" w:hAnsi="仿宋_GB2312" w:cs="仿宋_GB2312" w:eastAsia="仿宋_GB2312"/>
                      <w:sz w:val="24"/>
                    </w:rPr>
                    <w:t>通讯：</w:t>
                  </w:r>
                  <w:r>
                    <w:rPr>
                      <w:rFonts w:ascii="仿宋_GB2312" w:hAnsi="仿宋_GB2312" w:cs="仿宋_GB2312" w:eastAsia="仿宋_GB2312"/>
                      <w:sz w:val="24"/>
                      <w:shd w:fill="FFFFFF" w:val="clear"/>
                    </w:rPr>
                    <w:t>包含</w:t>
                  </w:r>
                  <w:r>
                    <w:rPr>
                      <w:rFonts w:ascii="仿宋_GB2312" w:hAnsi="仿宋_GB2312" w:cs="仿宋_GB2312" w:eastAsia="仿宋_GB2312"/>
                      <w:sz w:val="24"/>
                      <w:shd w:fill="FFFFFF" w:val="clear"/>
                    </w:rPr>
                    <w:t>10/100M以太网通信</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Wi-Fi通讯，2.4G频段，支持802.11 b/g/n，支持热点</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支持</w:t>
                  </w:r>
                  <w:r>
                    <w:rPr>
                      <w:rFonts w:ascii="仿宋_GB2312" w:hAnsi="仿宋_GB2312" w:cs="仿宋_GB2312" w:eastAsia="仿宋_GB2312"/>
                      <w:sz w:val="24"/>
                    </w:rPr>
                    <w:t>蓝牙</w:t>
                  </w:r>
                  <w:r>
                    <w:rPr>
                      <w:rFonts w:ascii="仿宋_GB2312" w:hAnsi="仿宋_GB2312" w:cs="仿宋_GB2312" w:eastAsia="仿宋_GB2312"/>
                      <w:sz w:val="24"/>
                    </w:rPr>
                    <w:t>2.1/3.0/4</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/5.0</w:t>
                  </w:r>
                </w:p>
                <w:p>
                  <w:pPr>
                    <w:pStyle w:val="null3"/>
                    <w:jc w:val="left"/>
                  </w:pPr>
                  <w:r>
                    <w:rPr>
                      <w:rFonts w:ascii="仿宋_GB2312" w:hAnsi="仿宋_GB2312" w:cs="仿宋_GB2312" w:eastAsia="仿宋_GB2312"/>
                      <w:sz w:val="24"/>
                      <w:shd w:fill="FFFFFF" w:val="clear"/>
                    </w:rPr>
                    <w:t>8.</w:t>
                  </w:r>
                  <w:r>
                    <w:rPr>
                      <w:rFonts w:ascii="仿宋_GB2312" w:hAnsi="仿宋_GB2312" w:cs="仿宋_GB2312" w:eastAsia="仿宋_GB2312"/>
                      <w:sz w:val="24"/>
                    </w:rPr>
                    <w:t>音频：</w:t>
                  </w:r>
                  <w:r>
                    <w:rPr>
                      <w:rFonts w:ascii="仿宋_GB2312" w:hAnsi="仿宋_GB2312" w:cs="仿宋_GB2312" w:eastAsia="仿宋_GB2312"/>
                      <w:sz w:val="24"/>
                      <w:shd w:fill="FFFFFF" w:val="clear"/>
                    </w:rPr>
                    <w:t>≥内置3W高保真喇叭</w:t>
                  </w:r>
                </w:p>
              </w:tc>
            </w:tr>
            <w:tr>
              <w:tc>
                <w:tcPr>
                  <w:tcW w:type="dxa" w:w="245"/>
                  <w:vMerge/>
                  <w:tcBorders>
                    <w:top w:val="none" w:color="000000" w:sz="4"/>
                    <w:left w:val="singl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扩展</w:t>
                  </w:r>
                </w:p>
                <w:p>
                  <w:pPr>
                    <w:pStyle w:val="null3"/>
                    <w:jc w:val="center"/>
                  </w:pPr>
                  <w:r>
                    <w:rPr>
                      <w:rFonts w:ascii="仿宋_GB2312" w:hAnsi="仿宋_GB2312" w:cs="仿宋_GB2312" w:eastAsia="仿宋_GB2312"/>
                      <w:sz w:val="24"/>
                    </w:rPr>
                    <w:t>配件</w:t>
                  </w:r>
                </w:p>
                <w:p>
                  <w:pPr>
                    <w:pStyle w:val="null3"/>
                    <w:jc w:val="center"/>
                  </w:pPr>
                  <w:r>
                    <w:rPr>
                      <w:rFonts w:ascii="仿宋_GB2312" w:hAnsi="仿宋_GB2312" w:cs="仿宋_GB2312" w:eastAsia="仿宋_GB2312"/>
                      <w:sz w:val="24"/>
                    </w:rPr>
                    <w:t>要求</w:t>
                  </w:r>
                </w:p>
              </w:tc>
              <w:tc>
                <w:tcPr>
                  <w:tcW w:type="dxa" w:w="2034"/>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both"/>
                  </w:pPr>
                  <w:r>
                    <w:rPr>
                      <w:rFonts w:ascii="仿宋_GB2312" w:hAnsi="仿宋_GB2312" w:cs="仿宋_GB2312" w:eastAsia="仿宋_GB2312"/>
                      <w:sz w:val="24"/>
                      <w:shd w:fill="FFFFFF" w:val="clear"/>
                    </w:rPr>
                    <w:t>可外置打印机</w:t>
                  </w:r>
                </w:p>
                <w:p>
                  <w:pPr>
                    <w:pStyle w:val="null3"/>
                    <w:jc w:val="both"/>
                  </w:pPr>
                  <w:r>
                    <w:rPr>
                      <w:rFonts w:ascii="仿宋_GB2312" w:hAnsi="仿宋_GB2312" w:cs="仿宋_GB2312" w:eastAsia="仿宋_GB2312"/>
                      <w:sz w:val="24"/>
                      <w:shd w:fill="FFFFFF" w:val="clear"/>
                    </w:rPr>
                    <w:t>可外置扫描枪</w:t>
                  </w:r>
                </w:p>
                <w:p>
                  <w:pPr>
                    <w:pStyle w:val="null3"/>
                    <w:jc w:val="both"/>
                  </w:pPr>
                  <w:r>
                    <w:rPr>
                      <w:rFonts w:ascii="仿宋_GB2312" w:hAnsi="仿宋_GB2312" w:cs="仿宋_GB2312" w:eastAsia="仿宋_GB2312"/>
                      <w:sz w:val="24"/>
                      <w:shd w:fill="FFFFFF" w:val="clear"/>
                    </w:rPr>
                    <w:t>可外置</w:t>
                  </w:r>
                  <w:r>
                    <w:rPr>
                      <w:rFonts w:ascii="仿宋_GB2312" w:hAnsi="仿宋_GB2312" w:cs="仿宋_GB2312" w:eastAsia="仿宋_GB2312"/>
                      <w:sz w:val="24"/>
                      <w:shd w:fill="FFFFFF" w:val="clear"/>
                    </w:rPr>
                    <w:t>POS键盘</w:t>
                  </w:r>
                </w:p>
              </w:tc>
            </w:tr>
            <w:tr>
              <w:tc>
                <w:tcPr>
                  <w:tcW w:type="dxa" w:w="245"/>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扫码</w:t>
                  </w:r>
                </w:p>
                <w:p>
                  <w:pPr>
                    <w:pStyle w:val="null3"/>
                    <w:jc w:val="center"/>
                  </w:pPr>
                  <w:r>
                    <w:rPr>
                      <w:rFonts w:ascii="仿宋_GB2312" w:hAnsi="仿宋_GB2312" w:cs="仿宋_GB2312" w:eastAsia="仿宋_GB2312"/>
                      <w:sz w:val="24"/>
                    </w:rPr>
                    <w:t>设备</w:t>
                  </w:r>
                </w:p>
              </w:tc>
              <w:tc>
                <w:tcPr>
                  <w:tcW w:type="dxa" w:w="237"/>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性能</w:t>
                  </w:r>
                </w:p>
              </w:tc>
              <w:tc>
                <w:tcPr>
                  <w:tcW w:type="dxa" w:w="2034"/>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要求具备产品扫描功能，支持条形码和二维码的识读与解析</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通讯接口支持</w:t>
                  </w:r>
                  <w:r>
                    <w:rPr>
                      <w:rFonts w:ascii="仿宋_GB2312" w:hAnsi="仿宋_GB2312" w:cs="仿宋_GB2312" w:eastAsia="仿宋_GB2312"/>
                      <w:sz w:val="24"/>
                      <w:shd w:fill="FFFFFF" w:val="clear"/>
                    </w:rPr>
                    <w:t>USB2.0、支持Android 操作系统，分辨率</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640 * 480。</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.识读精度：≥8mil</w:t>
                  </w:r>
                </w:p>
                <w:p>
                  <w:pPr>
                    <w:pStyle w:val="null3"/>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.打印对比度：≥30%</w:t>
                  </w:r>
                </w:p>
              </w:tc>
            </w:tr>
            <w:tr>
              <w:tc>
                <w:tcPr>
                  <w:tcW w:type="dxa" w:w="245"/>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身份</w:t>
                  </w:r>
                </w:p>
                <w:p>
                  <w:pPr>
                    <w:pStyle w:val="null3"/>
                    <w:jc w:val="center"/>
                  </w:pPr>
                  <w:r>
                    <w:rPr>
                      <w:rFonts w:ascii="仿宋_GB2312" w:hAnsi="仿宋_GB2312" w:cs="仿宋_GB2312" w:eastAsia="仿宋_GB2312"/>
                      <w:sz w:val="24"/>
                    </w:rPr>
                    <w:t>数据</w:t>
                  </w:r>
                </w:p>
                <w:p>
                  <w:pPr>
                    <w:pStyle w:val="null3"/>
                    <w:jc w:val="center"/>
                  </w:pPr>
                  <w:r>
                    <w:rPr>
                      <w:rFonts w:ascii="仿宋_GB2312" w:hAnsi="仿宋_GB2312" w:cs="仿宋_GB2312" w:eastAsia="仿宋_GB2312"/>
                      <w:sz w:val="24"/>
                    </w:rPr>
                    <w:t>读取</w:t>
                  </w:r>
                </w:p>
                <w:p>
                  <w:pPr>
                    <w:pStyle w:val="null3"/>
                    <w:jc w:val="center"/>
                  </w:pPr>
                  <w:r>
                    <w:rPr>
                      <w:rFonts w:ascii="仿宋_GB2312" w:hAnsi="仿宋_GB2312" w:cs="仿宋_GB2312" w:eastAsia="仿宋_GB2312"/>
                      <w:sz w:val="24"/>
                    </w:rPr>
                    <w:t>设备</w:t>
                  </w:r>
                </w:p>
                <w:p>
                  <w:pPr>
                    <w:pStyle w:val="null3"/>
                    <w:jc w:val="center"/>
                  </w:pPr>
                </w:p>
              </w:tc>
              <w:tc>
                <w:tcPr>
                  <w:tcW w:type="dxa" w:w="237"/>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性能</w:t>
                  </w:r>
                </w:p>
              </w:tc>
              <w:tc>
                <w:tcPr>
                  <w:tcW w:type="dxa" w:w="2034"/>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具备身份证读取功能，通过读取录入农户的身份信息，为农户建立档案</w:t>
                  </w:r>
                  <w:r>
                    <w:rPr>
                      <w:rFonts w:ascii="仿宋_GB2312" w:hAnsi="仿宋_GB2312" w:cs="仿宋_GB2312" w:eastAsia="仿宋_GB2312"/>
                      <w:sz w:val="24"/>
                      <w:shd w:fill="FFFFFF" w:val="clear"/>
                    </w:rPr>
                    <w:t>;同时具备农户在线建档及本地图像库采集比对功能，通过终端实现农户基础档案在线建档，并完成本地图像库及省级图像库的比对。</w:t>
                  </w:r>
                </w:p>
                <w:p>
                  <w:pPr>
                    <w:pStyle w:val="null3"/>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设备读取距离</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3cm;接口支持USB2.0;支持0TG即插即用。</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3.读卡距离：0～5cm</w:t>
                  </w:r>
                </w:p>
                <w:p>
                  <w:pPr>
                    <w:pStyle w:val="null3"/>
                  </w:pPr>
                  <w:r>
                    <w:rPr>
                      <w:rFonts w:ascii="仿宋_GB2312" w:hAnsi="仿宋_GB2312" w:cs="仿宋_GB2312" w:eastAsia="仿宋_GB2312"/>
                      <w:sz w:val="24"/>
                      <w:shd w:fill="FFFFFF" w:val="clear"/>
                    </w:rPr>
                    <w:t>4.读卡提示：设备通过蜂鸣器及LED指示灯直观提示读卡是否成功</w:t>
                  </w:r>
                </w:p>
              </w:tc>
            </w:tr>
            <w:tr>
              <w:tc>
                <w:tcPr>
                  <w:tcW w:type="dxa" w:w="245"/>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票</w:t>
                  </w:r>
                  <w:r>
                    <w:rPr>
                      <w:rFonts w:ascii="仿宋_GB2312" w:hAnsi="仿宋_GB2312" w:cs="仿宋_GB2312" w:eastAsia="仿宋_GB2312"/>
                      <w:sz w:val="24"/>
                    </w:rPr>
                    <w:t>据</w:t>
                  </w:r>
                </w:p>
                <w:p>
                  <w:pPr>
                    <w:pStyle w:val="null3"/>
                    <w:jc w:val="center"/>
                  </w:pPr>
                  <w:r>
                    <w:rPr>
                      <w:rFonts w:ascii="仿宋_GB2312" w:hAnsi="仿宋_GB2312" w:cs="仿宋_GB2312" w:eastAsia="仿宋_GB2312"/>
                      <w:sz w:val="24"/>
                    </w:rPr>
                    <w:t>打</w:t>
                  </w:r>
                  <w:r>
                    <w:rPr>
                      <w:rFonts w:ascii="仿宋_GB2312" w:hAnsi="仿宋_GB2312" w:cs="仿宋_GB2312" w:eastAsia="仿宋_GB2312"/>
                      <w:sz w:val="24"/>
                    </w:rPr>
                    <w:t>印</w:t>
                  </w:r>
                </w:p>
                <w:p>
                  <w:pPr>
                    <w:pStyle w:val="null3"/>
                    <w:jc w:val="center"/>
                  </w:pPr>
                  <w:r>
                    <w:rPr>
                      <w:rFonts w:ascii="仿宋_GB2312" w:hAnsi="仿宋_GB2312" w:cs="仿宋_GB2312" w:eastAsia="仿宋_GB2312"/>
                      <w:sz w:val="24"/>
                    </w:rPr>
                    <w:t>设</w:t>
                  </w:r>
                  <w:r>
                    <w:rPr>
                      <w:rFonts w:ascii="仿宋_GB2312" w:hAnsi="仿宋_GB2312" w:cs="仿宋_GB2312" w:eastAsia="仿宋_GB2312"/>
                      <w:sz w:val="24"/>
                    </w:rPr>
                    <w:t>备</w:t>
                  </w:r>
                </w:p>
              </w:tc>
              <w:tc>
                <w:tcPr>
                  <w:tcW w:type="dxa" w:w="237"/>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性能</w:t>
                  </w:r>
                </w:p>
              </w:tc>
              <w:tc>
                <w:tcPr>
                  <w:tcW w:type="dxa" w:w="2034"/>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具备销售记录打印功能</w:t>
                  </w:r>
                  <w:r>
                    <w:rPr>
                      <w:rFonts w:ascii="仿宋_GB2312" w:hAnsi="仿宋_GB2312" w:cs="仿宋_GB2312" w:eastAsia="仿宋_GB2312"/>
                      <w:sz w:val="24"/>
                      <w:shd w:fill="FFFFFF" w:val="clear"/>
                    </w:rPr>
                    <w:t>;接口类型支持USB;支持常规的小票打印纸规格。</w:t>
                  </w:r>
                </w:p>
                <w:p>
                  <w:pPr>
                    <w:pStyle w:val="null3"/>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.打印速度：不低于90毫米/秒</w:t>
                  </w:r>
                </w:p>
              </w:tc>
            </w:tr>
            <w:tr>
              <w:tc>
                <w:tcPr>
                  <w:tcW w:type="dxa" w:w="245"/>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人</w:t>
                  </w:r>
                  <w:r>
                    <w:rPr>
                      <w:rFonts w:ascii="仿宋_GB2312" w:hAnsi="仿宋_GB2312" w:cs="仿宋_GB2312" w:eastAsia="仿宋_GB2312"/>
                      <w:sz w:val="24"/>
                    </w:rPr>
                    <w:t>像</w:t>
                  </w:r>
                </w:p>
                <w:p>
                  <w:pPr>
                    <w:pStyle w:val="null3"/>
                    <w:jc w:val="center"/>
                  </w:pPr>
                  <w:r>
                    <w:rPr>
                      <w:rFonts w:ascii="仿宋_GB2312" w:hAnsi="仿宋_GB2312" w:cs="仿宋_GB2312" w:eastAsia="仿宋_GB2312"/>
                      <w:sz w:val="24"/>
                    </w:rPr>
                    <w:t>采</w:t>
                  </w:r>
                  <w:r>
                    <w:rPr>
                      <w:rFonts w:ascii="仿宋_GB2312" w:hAnsi="仿宋_GB2312" w:cs="仿宋_GB2312" w:eastAsia="仿宋_GB2312"/>
                      <w:sz w:val="24"/>
                    </w:rPr>
                    <w:t>集</w:t>
                  </w:r>
                </w:p>
                <w:p>
                  <w:pPr>
                    <w:pStyle w:val="null3"/>
                    <w:jc w:val="center"/>
                  </w:pPr>
                  <w:r>
                    <w:rPr>
                      <w:rFonts w:ascii="仿宋_GB2312" w:hAnsi="仿宋_GB2312" w:cs="仿宋_GB2312" w:eastAsia="仿宋_GB2312"/>
                      <w:sz w:val="24"/>
                    </w:rPr>
                    <w:t>设</w:t>
                  </w:r>
                  <w:r>
                    <w:rPr>
                      <w:rFonts w:ascii="仿宋_GB2312" w:hAnsi="仿宋_GB2312" w:cs="仿宋_GB2312" w:eastAsia="仿宋_GB2312"/>
                      <w:sz w:val="24"/>
                    </w:rPr>
                    <w:t>备</w:t>
                  </w:r>
                </w:p>
              </w:tc>
              <w:tc>
                <w:tcPr>
                  <w:tcW w:type="dxa" w:w="237"/>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性能</w:t>
                  </w:r>
                </w:p>
              </w:tc>
              <w:tc>
                <w:tcPr>
                  <w:tcW w:type="dxa" w:w="2034"/>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具备人脸捕捉功能，采集的图像与农户档案关联，支持同省级农户人脸信息库进行匹配，可实现本地人脸采集及比对分析；可实现自动对焦</w:t>
                  </w:r>
                  <w:r>
                    <w:rPr>
                      <w:rFonts w:ascii="仿宋_GB2312" w:hAnsi="仿宋_GB2312" w:cs="仿宋_GB2312" w:eastAsia="仿宋_GB2312"/>
                      <w:sz w:val="24"/>
                      <w:shd w:fill="FFFFFF" w:val="clear"/>
                    </w:rPr>
                    <w:t>;支持 Android 操作系统。</w:t>
                  </w:r>
                </w:p>
                <w:p>
                  <w:pPr>
                    <w:pStyle w:val="null3"/>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2.分辨率：</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2560*1440</w:t>
                  </w:r>
                </w:p>
                <w:p>
                  <w:pPr>
                    <w:pStyle w:val="null3"/>
                  </w:pPr>
                  <w:r>
                    <w:rPr>
                      <w:rFonts w:ascii="仿宋_GB2312" w:hAnsi="仿宋_GB2312" w:cs="仿宋_GB2312" w:eastAsia="仿宋_GB2312"/>
                      <w:sz w:val="24"/>
                      <w:shd w:fill="FFFFFF" w:val="clear"/>
                    </w:rPr>
                    <w:t>3.照度：</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0.1 Lux@(F2.0, AGC ON)</w:t>
                  </w:r>
                </w:p>
              </w:tc>
            </w:tr>
            <w:tr>
              <w:tc>
                <w:tcPr>
                  <w:tcW w:type="dxa" w:w="245"/>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其他</w:t>
                  </w:r>
                </w:p>
              </w:tc>
              <w:tc>
                <w:tcPr>
                  <w:tcW w:type="dxa" w:w="2271"/>
                  <w:gridSpan w:val="2"/>
                  <w:tcBorders>
                    <w:top w:val="none" w:color="000000" w:sz="4"/>
                    <w:left w:val="none" w:color="000000" w:sz="4"/>
                    <w:bottom w:val="single" w:color="000000" w:sz="4"/>
                    <w:right w:val="single" w:color="000000" w:sz="4"/>
                  </w:tcBorders>
                  <w:tcMar>
                    <w:top w:type="dxa" w:w="120"/>
                    <w:left w:type="dxa" w:w="120"/>
                    <w:bottom w:type="dxa" w:w="120"/>
                    <w:right w:type="dxa" w:w="120"/>
                  </w:tcMar>
                  <w:vAlign w:val="top"/>
                </w:tcPr>
                <w:p>
                  <w:pPr>
                    <w:pStyle w:val="null3"/>
                  </w:pPr>
                  <w:r>
                    <w:rPr>
                      <w:rFonts w:ascii="仿宋_GB2312" w:hAnsi="仿宋_GB2312" w:cs="仿宋_GB2312" w:eastAsia="仿宋_GB2312"/>
                      <w:sz w:val="24"/>
                      <w:shd w:fill="FFFFFF" w:val="clear"/>
                    </w:rPr>
                    <w:t>其他相关配套设备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项目整体验收合格后一年内，一次性支付合同总价的100%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2.运输：选择运输风险小、运费低、距离短的运输路线。运杂费一次包死在总价内，包括生产厂到交货地所需的装卸、运输（含保险费）、现场保管费、二次倒运费、吊装费等费用。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（一）未按合同要求提供产品不能满足技术要求，甲方会同监督机构、采购代理机构有权终止合同并对乙方的违约行为进行追究，同时按政府采购供应商管理办法进行相应的处罚。 （二）甲方应按照合同约定的时间和比例向乙方支付货款。甲方逾期付款的，应按照逾期未支付货款金额的同期银行贷款利率向乙方支付违约金。 （三）乙方交付的标的物不符合约定的，甲方可以解除合同，并要求乙方按照合同的 20 %支付违约金。由此给甲方造成损失的，乙方还应当赔偿损失。 （四）乙方逾期交货的，每逾期一日按合同价款的 3‰ 向甲方支付违约金。逾期达 5 日，甲方有权解除合同，乙方应按合同价款的 20 %向甲方支付违约金，并赔偿由此给甲方造成的相关经济损失。 （五）乙方未在约定的期限内完成安装调试并经甲方验收合格的，每逾期一日按照合同总价款的 3 ‰向甲方支付违约金。逾期达 5日，甲方有权解除合同，并要求乙方按照合同总价款的 20 %支付违约金。由此给甲方造成损失的，乙方还应当赔偿损失。 争议的解决： 因本合同而引起的或与本合同有关的任何争议，双方应当友好协商解决。如协商未能达成一致时，按以下第＿_种方式解决。 （一）向有管辖权的人民法院提起诉讼。 （二）向渭南市仲裁委员会提起仲裁。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2、中标(成交)供应商在中标(成交)结果公告发布后3个工作日内提供叁套响应文件(经编标工具生成的文件直接打印加盖公章），递交的纸质版文件内容确保与线上电子版保持一致，不允许修改和补充。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营业执照等证明材料</w:t>
            </w:r>
          </w:p>
        </w:tc>
        <w:tc>
          <w:tcPr>
            <w:tcW w:type="dxa" w:w="3322"/>
          </w:tcPr>
          <w:p>
            <w:pPr>
              <w:pStyle w:val="null3"/>
            </w:pPr>
            <w:r>
              <w:rPr>
                <w:rFonts w:ascii="仿宋_GB2312" w:hAnsi="仿宋_GB2312" w:cs="仿宋_GB2312" w:eastAsia="仿宋_GB2312"/>
              </w:rPr>
              <w:t>供应商需提供合法有效，具备独立承担民事责任能力的证明材料；</w:t>
            </w:r>
          </w:p>
        </w:tc>
        <w:tc>
          <w:tcPr>
            <w:tcW w:type="dxa" w:w="1661"/>
          </w:tcPr>
          <w:p>
            <w:pPr>
              <w:pStyle w:val="null3"/>
            </w:pPr>
            <w:r>
              <w:rPr>
                <w:rFonts w:ascii="仿宋_GB2312" w:hAnsi="仿宋_GB2312" w:cs="仿宋_GB2312" w:eastAsia="仿宋_GB2312"/>
              </w:rPr>
              <w:t>（政府采购二十二条）+拒绝贿赂承诺书+授权委托书+信用信息.docx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具有良好的商业信誉和健全的财务会计制度以及有依法缆纳税收和社会保障资金的良好记录(提供相关证明或承诺)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投标时间不足一年的可提供成立后任意时段的资产负债表）或投标文件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采购文件格式要求出具承诺函，中标供应商的承诺函同中标结果一并公示。</w:t>
            </w:r>
          </w:p>
        </w:tc>
        <w:tc>
          <w:tcPr>
            <w:tcW w:type="dxa" w:w="1661"/>
          </w:tcPr>
          <w:p>
            <w:pPr>
              <w:pStyle w:val="null3"/>
            </w:pPr>
            <w:r>
              <w:rPr>
                <w:rFonts w:ascii="仿宋_GB2312" w:hAnsi="仿宋_GB2312" w:cs="仿宋_GB2312" w:eastAsia="仿宋_GB2312"/>
              </w:rPr>
              <w:t>投标人应提交的相关资格证明材料 （政府采购二十二条）+拒绝贿赂承诺书+授权委托书+信用信息.docx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具有履行本合同的说明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提供具有履行本合同所必需的设备和专业技术能力的说明或承诺(格式自拟，加盖供应商公章);</w:t>
            </w:r>
          </w:p>
        </w:tc>
        <w:tc>
          <w:tcPr>
            <w:tcW w:type="dxa" w:w="1661"/>
          </w:tcPr>
          <w:p>
            <w:pPr>
              <w:pStyle w:val="null3"/>
            </w:pPr>
            <w:r>
              <w:rPr>
                <w:rFonts w:ascii="仿宋_GB2312" w:hAnsi="仿宋_GB2312" w:cs="仿宋_GB2312" w:eastAsia="仿宋_GB2312"/>
              </w:rPr>
              <w:t>（政府采购二十二条）+拒绝贿赂承诺书+授权委托书+信用信息.docx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投标人应提交的相关资格证明材料 （政府采购二十二条）+拒绝贿赂承诺书+授权委托书+信用信息.docx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投标保证金凭证</w:t>
            </w:r>
          </w:p>
        </w:tc>
        <w:tc>
          <w:tcPr>
            <w:tcW w:type="dxa" w:w="3322"/>
          </w:tcPr>
          <w:p>
            <w:pPr>
              <w:pStyle w:val="null3"/>
            </w:pPr>
            <w:r>
              <w:rPr>
                <w:rFonts w:ascii="仿宋_GB2312" w:hAnsi="仿宋_GB2312" w:cs="仿宋_GB2312" w:eastAsia="仿宋_GB2312"/>
              </w:rPr>
              <w:t>投标保证金凭证；</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参与的供应商（联合体）提供的货物全部由符合政策要求的中小企业制造。（本项目所属行业：工业）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应按招标文件要求签署、盖章</w:t>
            </w:r>
          </w:p>
        </w:tc>
        <w:tc>
          <w:tcPr>
            <w:tcW w:type="dxa" w:w="1661"/>
          </w:tcPr>
          <w:p>
            <w:pPr>
              <w:pStyle w:val="null3"/>
            </w:pPr>
            <w:r>
              <w:rPr>
                <w:rFonts w:ascii="仿宋_GB2312" w:hAnsi="仿宋_GB2312" w:cs="仿宋_GB2312" w:eastAsia="仿宋_GB2312"/>
              </w:rPr>
              <w:t>开标一览表 中小企业声明函 商务应答表 项目实施方案.docx 投标人应提交的相关资格证明材料 产品技术参数表 分项报价表.docx 投标函 残疾人福利性单位声明函 标的清单 投标文件封面 监狱企业的证明文件 （政府采购二十二条）+拒绝贿赂承诺书+授权委托书+信用信息.docx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交货期/合同履行期限</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依据各投标供应商主要技术指标、参数、性能等情况综合评分，并能提供生产厂家出具的、响应的功能证明材料（包括但不限于检测报告、官网和功能截图、彩页、说明书等相关资料，并在技术偏离表 “说明”栏中标明页码，未提供视为负偏离），其他产品提供产品彩页，官网参数截图等相关资料。“▲”项参数满分10分，每负偏离一项扣2分，扣完为止；非“▲”号项参数满分12分，每负偏离一项扣0.5分，扣完为止。无有效证明材料或响应数据与证明材料不符的视为负偏离。</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一、评审内容（4分/项）投标人根据本项目特点，提供项目实施方案。包含不限于：①项目进度安排；②设备运输、安装及调试组织措施；③应急处理措施；④项目团队配备及岗位职责；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一、评审内容（4分/项）：①培训时间；②培训内容及培训方式； 二、评审标准：提供详细、合理、科学可行的方案，方案符合本项目采购需求有针对性，以上2项，以序号①、②为项数，内容无缺项、无漏项且无缺陷的得8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一、评审内容（3分/项）：①所投产品提供合法来源渠道证明材料；②产品质量保障措施；③产品的设计、工艺、加工、检验能力；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经过有效性和符合性审核合格的投标人，对商务要求完全响应招标文件要求的得3分，对商务要求完全响应且优于招标文件要求的每优于一项加1分，最高得5分。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一、评审内容（2分/项）: 投标人根据本项目特点，提供项目售后服务方案。包含不限于：①售后服务方案完整可行，有明确的售后服务标准、售后服务承诺以及在服务期内产品发生质量问题所产生的换货修补服务具体响应时限、补救措施等；②售后服务机构组成，人员从业经历，服务人员培训计划情况；③售后服务响应（电话支持、到场服务）；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10月至今）的类似项目业绩，每提供一个有效业绩得2分，最高得4分。注：每个有效业绩须包含以下内容：合同复印件（提供合同首页、服务主要内容页、金额页、盖章页等关键页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满足招标文件要求且投标价格最低的投标报价为评标基准价，其价格分为满分。其他投标单位的价格分统一按照下列公式计算：投标报价得分=(评标基准价／投标报价)×30%×100。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详见附件：（政府采购二十二条）+拒绝贿赂承诺书+授权委托书+信用信息.docx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