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版本号：HY-ZB-036-202520251021002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林权登记资料数据整合和信息共享项目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HY-ZB-036-2025</w:t>
      </w:r>
      <w:r>
        <w:br/>
      </w:r>
      <w:r>
        <w:br/>
      </w:r>
      <w:r>
        <w:br/>
      </w:r>
    </w:p>
    <w:p>
      <w:pPr>
        <w:pStyle w:val="null3"/>
        <w:jc w:val="center"/>
        <w:outlineLvl w:val="2"/>
      </w:pPr>
      <w:r>
        <w:rPr>
          <w:rFonts w:ascii="仿宋_GB2312" w:hAnsi="仿宋_GB2312" w:cs="仿宋_GB2312" w:eastAsia="仿宋_GB2312"/>
          <w:sz w:val="28"/>
          <w:b/>
        </w:rPr>
        <w:t>大荔县自然资源局</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大荔县自然资源局</w:t>
      </w:r>
      <w:r>
        <w:rPr>
          <w:rFonts w:ascii="仿宋_GB2312" w:hAnsi="仿宋_GB2312" w:cs="仿宋_GB2312" w:eastAsia="仿宋_GB2312"/>
        </w:rPr>
        <w:t>委托，拟对</w:t>
      </w:r>
      <w:r>
        <w:rPr>
          <w:rFonts w:ascii="仿宋_GB2312" w:hAnsi="仿宋_GB2312" w:cs="仿宋_GB2312" w:eastAsia="仿宋_GB2312"/>
        </w:rPr>
        <w:t>林权登记资料数据整合和信息共享项目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HY-ZB-036-2025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林权登记资料数据整合和信息共享项目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全面开展大荔县林权不动产登记资料整理、数据整合及入库汇交工作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采购包1（大荔县自然资源局林权登记资料数据整合和信息共享项目）：属于专门面向中小企业采购。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 不足一年的可提供成立后任意时段的资产负债表）或投标文件递交截止时间前六个月内其基本账 户银行出具的资信证明（附基本账户证明）或政府采购信用担保机构出具的投标担保函；</w:t>
      </w:r>
    </w:p>
    <w:p>
      <w:pPr>
        <w:pStyle w:val="null3"/>
      </w:pPr>
      <w:r>
        <w:rPr>
          <w:rFonts w:ascii="仿宋_GB2312" w:hAnsi="仿宋_GB2312" w:cs="仿宋_GB2312" w:eastAsia="仿宋_GB2312"/>
        </w:rPr>
        <w:t>3、社会保障资金缴纳证明：提供投标文件截止时间前12个月内至少一个月已缴纳的社会保障资金的凭据（专用收据或社会保险缴纳清单）；依法不需要缴纳社会保障资金的供应商应提供相关文件证明；</w:t>
      </w:r>
    </w:p>
    <w:p>
      <w:pPr>
        <w:pStyle w:val="null3"/>
      </w:pPr>
      <w:r>
        <w:rPr>
          <w:rFonts w:ascii="仿宋_GB2312" w:hAnsi="仿宋_GB2312" w:cs="仿宋_GB2312" w:eastAsia="仿宋_GB2312"/>
        </w:rPr>
        <w:t>4、税收缴纳证明：提供投标文件截止时间前12个月内至少一个月已缴纳税收的凭据；依法免税的供应商应提供相关文件证明；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8、供应商资质要求：供应商须具备测绘乙级及以上（含乙级）资质；拟派项目负责人须具有测绘专业中级及以上（含中级）职称。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大荔县东环路十字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3269986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采购包1：1,234,100.00元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代理服务费收费标准：代理服务费收费标准：代理服务费收费标准：参考《国家计委关于印发&lt;招标代理服务收费管理暂行办法&gt;的通知》（ 计价格【2002】1980号）及《国家发改委关于降低部分建设项目收费标准规范收费行为等有 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大荔县自然资源局</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全面开展大荔县林权不动产登记资料整理、数据整合及入库汇交工作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1,234,100.00</w:t>
      </w:r>
    </w:p>
    <w:p>
      <w:pPr>
        <w:pStyle w:val="null3"/>
      </w:pPr>
      <w:r>
        <w:rPr>
          <w:rFonts w:ascii="仿宋_GB2312" w:hAnsi="仿宋_GB2312" w:cs="仿宋_GB2312" w:eastAsia="仿宋_GB2312"/>
        </w:rPr>
        <w:t>采购包最高限价（元）: 1,234,100.00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大荔县自然资源局林权登记资料数据整合和信息共享项目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标的名称：大荔县自然资源局林权登记资料数据整合和信息共享项目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采购内容：全面开展大荔县林权不动产登记资料整理、数据整合及入库汇交工作。包括（</w:t>
            </w:r>
            <w:r>
              <w:rPr>
                <w:rFonts w:ascii="仿宋_GB2312" w:hAnsi="仿宋_GB2312" w:cs="仿宋_GB2312" w:eastAsia="仿宋_GB2312"/>
                <w:sz w:val="28"/>
              </w:rPr>
              <w:t>1</w:t>
            </w:r>
            <w:r>
              <w:rPr>
                <w:rFonts w:ascii="仿宋_GB2312" w:hAnsi="仿宋_GB2312" w:cs="仿宋_GB2312" w:eastAsia="仿宋_GB2312"/>
                <w:sz w:val="28"/>
              </w:rPr>
              <w:t>）编制标准规范方案；（</w:t>
            </w:r>
            <w:r>
              <w:rPr>
                <w:rFonts w:ascii="仿宋_GB2312" w:hAnsi="仿宋_GB2312" w:cs="仿宋_GB2312" w:eastAsia="仿宋_GB2312"/>
                <w:sz w:val="28"/>
              </w:rPr>
              <w:t>2</w:t>
            </w:r>
            <w:r>
              <w:rPr>
                <w:rFonts w:ascii="仿宋_GB2312" w:hAnsi="仿宋_GB2312" w:cs="仿宋_GB2312" w:eastAsia="仿宋_GB2312"/>
                <w:sz w:val="28"/>
              </w:rPr>
              <w:t>）不动产登记数据库建设；</w:t>
            </w:r>
            <w:r>
              <w:rPr>
                <w:rFonts w:ascii="仿宋_GB2312" w:hAnsi="仿宋_GB2312" w:cs="仿宋_GB2312" w:eastAsia="仿宋_GB2312"/>
                <w:sz w:val="28"/>
              </w:rPr>
              <w:t>1</w:t>
            </w:r>
            <w:r>
              <w:rPr>
                <w:rFonts w:ascii="仿宋_GB2312" w:hAnsi="仿宋_GB2312" w:cs="仿宋_GB2312" w:eastAsia="仿宋_GB2312"/>
                <w:sz w:val="28"/>
              </w:rPr>
              <w:t>）准备工作、</w:t>
            </w:r>
            <w:r>
              <w:rPr>
                <w:rFonts w:ascii="仿宋_GB2312" w:hAnsi="仿宋_GB2312" w:cs="仿宋_GB2312" w:eastAsia="仿宋_GB2312"/>
                <w:sz w:val="28"/>
              </w:rPr>
              <w:t>2</w:t>
            </w:r>
            <w:r>
              <w:rPr>
                <w:rFonts w:ascii="仿宋_GB2312" w:hAnsi="仿宋_GB2312" w:cs="仿宋_GB2312" w:eastAsia="仿宋_GB2312"/>
                <w:sz w:val="28"/>
              </w:rPr>
              <w:t>）档案数据整理、</w:t>
            </w:r>
            <w:r>
              <w:rPr>
                <w:rFonts w:ascii="仿宋_GB2312" w:hAnsi="仿宋_GB2312" w:cs="仿宋_GB2312" w:eastAsia="仿宋_GB2312"/>
                <w:sz w:val="28"/>
              </w:rPr>
              <w:t>3</w:t>
            </w:r>
            <w:r>
              <w:rPr>
                <w:rFonts w:ascii="仿宋_GB2312" w:hAnsi="仿宋_GB2312" w:cs="仿宋_GB2312" w:eastAsia="仿宋_GB2312"/>
                <w:sz w:val="28"/>
              </w:rPr>
              <w:t>）空间数据整理、</w:t>
            </w:r>
            <w:r>
              <w:rPr>
                <w:rFonts w:ascii="仿宋_GB2312" w:hAnsi="仿宋_GB2312" w:cs="仿宋_GB2312" w:eastAsia="仿宋_GB2312"/>
                <w:sz w:val="28"/>
              </w:rPr>
              <w:t>4</w:t>
            </w:r>
            <w:r>
              <w:rPr>
                <w:rFonts w:ascii="仿宋_GB2312" w:hAnsi="仿宋_GB2312" w:cs="仿宋_GB2312" w:eastAsia="仿宋_GB2312"/>
                <w:sz w:val="28"/>
              </w:rPr>
              <w:t>）登记信息整理、</w:t>
            </w:r>
            <w:r>
              <w:rPr>
                <w:rFonts w:ascii="仿宋_GB2312" w:hAnsi="仿宋_GB2312" w:cs="仿宋_GB2312" w:eastAsia="仿宋_GB2312"/>
                <w:sz w:val="28"/>
              </w:rPr>
              <w:t>5</w:t>
            </w:r>
            <w:r>
              <w:rPr>
                <w:rFonts w:ascii="仿宋_GB2312" w:hAnsi="仿宋_GB2312" w:cs="仿宋_GB2312" w:eastAsia="仿宋_GB2312"/>
                <w:sz w:val="28"/>
              </w:rPr>
              <w:t>）数据采集与补录、</w:t>
            </w:r>
            <w:r>
              <w:rPr>
                <w:rFonts w:ascii="仿宋_GB2312" w:hAnsi="仿宋_GB2312" w:cs="仿宋_GB2312" w:eastAsia="仿宋_GB2312"/>
                <w:sz w:val="28"/>
              </w:rPr>
              <w:t>6</w:t>
            </w:r>
            <w:r>
              <w:rPr>
                <w:rFonts w:ascii="仿宋_GB2312" w:hAnsi="仿宋_GB2312" w:cs="仿宋_GB2312" w:eastAsia="仿宋_GB2312"/>
                <w:sz w:val="28"/>
              </w:rPr>
              <w:t>）建立关联关系、</w:t>
            </w:r>
            <w:r>
              <w:rPr>
                <w:rFonts w:ascii="仿宋_GB2312" w:hAnsi="仿宋_GB2312" w:cs="仿宋_GB2312" w:eastAsia="仿宋_GB2312"/>
                <w:sz w:val="28"/>
              </w:rPr>
              <w:t>7</w:t>
            </w:r>
            <w:r>
              <w:rPr>
                <w:rFonts w:ascii="仿宋_GB2312" w:hAnsi="仿宋_GB2312" w:cs="仿宋_GB2312" w:eastAsia="仿宋_GB2312"/>
                <w:sz w:val="28"/>
              </w:rPr>
              <w:t>）不动产单元统一编码、</w:t>
            </w:r>
            <w:r>
              <w:rPr>
                <w:rFonts w:ascii="仿宋_GB2312" w:hAnsi="仿宋_GB2312" w:cs="仿宋_GB2312" w:eastAsia="仿宋_GB2312"/>
                <w:sz w:val="28"/>
              </w:rPr>
              <w:t>8</w:t>
            </w:r>
            <w:r>
              <w:rPr>
                <w:rFonts w:ascii="仿宋_GB2312" w:hAnsi="仿宋_GB2312" w:cs="仿宋_GB2312" w:eastAsia="仿宋_GB2312"/>
                <w:sz w:val="28"/>
              </w:rPr>
              <w:t>）数据检查入库、</w:t>
            </w:r>
            <w:r>
              <w:rPr>
                <w:rFonts w:ascii="仿宋_GB2312" w:hAnsi="仿宋_GB2312" w:cs="仿宋_GB2312" w:eastAsia="仿宋_GB2312"/>
                <w:sz w:val="28"/>
              </w:rPr>
              <w:t>9</w:t>
            </w:r>
            <w:r>
              <w:rPr>
                <w:rFonts w:ascii="仿宋_GB2312" w:hAnsi="仿宋_GB2312" w:cs="仿宋_GB2312" w:eastAsia="仿宋_GB2312"/>
                <w:sz w:val="28"/>
              </w:rPr>
              <w:t>）数据汇交。</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技术要求</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）《不动产登记暂行条例》（国务院令第</w:t>
            </w:r>
            <w:r>
              <w:rPr>
                <w:rFonts w:ascii="仿宋_GB2312" w:hAnsi="仿宋_GB2312" w:cs="仿宋_GB2312" w:eastAsia="仿宋_GB2312"/>
                <w:sz w:val="28"/>
              </w:rPr>
              <w:t>656</w:t>
            </w:r>
            <w:r>
              <w:rPr>
                <w:rFonts w:ascii="仿宋_GB2312" w:hAnsi="仿宋_GB2312" w:cs="仿宋_GB2312" w:eastAsia="仿宋_GB2312"/>
                <w:sz w:val="28"/>
              </w:rPr>
              <w:t>号）；</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）《不动产登记暂行条例实施细则》（国土资源部令</w:t>
            </w:r>
            <w:r>
              <w:rPr>
                <w:rFonts w:ascii="仿宋_GB2312" w:hAnsi="仿宋_GB2312" w:cs="仿宋_GB2312" w:eastAsia="仿宋_GB2312"/>
                <w:sz w:val="28"/>
              </w:rPr>
              <w:t>63</w:t>
            </w:r>
            <w:r>
              <w:rPr>
                <w:rFonts w:ascii="仿宋_GB2312" w:hAnsi="仿宋_GB2312" w:cs="仿宋_GB2312" w:eastAsia="仿宋_GB2312"/>
                <w:sz w:val="28"/>
              </w:rPr>
              <w:t>号）；</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）《不动产登记操作规范（试行）》（国土资规〔</w:t>
            </w:r>
            <w:r>
              <w:rPr>
                <w:rFonts w:ascii="仿宋_GB2312" w:hAnsi="仿宋_GB2312" w:cs="仿宋_GB2312" w:eastAsia="仿宋_GB2312"/>
                <w:sz w:val="28"/>
              </w:rPr>
              <w:t>2016</w:t>
            </w: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号）；</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）《自然资源部办公厅 国家林业和草原局办公室关于进一步规范林权类不 动产登记做好林权登记与林业管理衔接的通知》（自然资办发〔</w:t>
            </w:r>
            <w:r>
              <w:rPr>
                <w:rFonts w:ascii="仿宋_GB2312" w:hAnsi="仿宋_GB2312" w:cs="仿宋_GB2312" w:eastAsia="仿宋_GB2312"/>
                <w:sz w:val="28"/>
              </w:rPr>
              <w:t>2020</w:t>
            </w:r>
            <w:r>
              <w:rPr>
                <w:rFonts w:ascii="仿宋_GB2312" w:hAnsi="仿宋_GB2312" w:cs="仿宋_GB2312" w:eastAsia="仿宋_GB2312"/>
                <w:sz w:val="28"/>
              </w:rPr>
              <w:t>〕</w:t>
            </w:r>
            <w:r>
              <w:rPr>
                <w:rFonts w:ascii="仿宋_GB2312" w:hAnsi="仿宋_GB2312" w:cs="仿宋_GB2312" w:eastAsia="仿宋_GB2312"/>
                <w:sz w:val="28"/>
              </w:rPr>
              <w:t>31</w:t>
            </w:r>
            <w:r>
              <w:rPr>
                <w:rFonts w:ascii="仿宋_GB2312" w:hAnsi="仿宋_GB2312" w:cs="仿宋_GB2312" w:eastAsia="仿宋_GB2312"/>
                <w:sz w:val="28"/>
              </w:rPr>
              <w:t>号）；</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 xml:space="preserve">GB/T 26424-2010 </w:t>
            </w:r>
            <w:r>
              <w:rPr>
                <w:rFonts w:ascii="仿宋_GB2312" w:hAnsi="仿宋_GB2312" w:cs="仿宋_GB2312" w:eastAsia="仿宋_GB2312"/>
                <w:sz w:val="28"/>
              </w:rPr>
              <w:t>《森林资源规划设计调查技术规程》；</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 xml:space="preserve">GB/T 37346-2019 </w:t>
            </w:r>
            <w:r>
              <w:rPr>
                <w:rFonts w:ascii="仿宋_GB2312" w:hAnsi="仿宋_GB2312" w:cs="仿宋_GB2312" w:eastAsia="仿宋_GB2312"/>
                <w:sz w:val="28"/>
              </w:rPr>
              <w:t>《不动产单元设定与代码编制规则》；</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 xml:space="preserve">TD/T 1066-2021 </w:t>
            </w:r>
            <w:r>
              <w:rPr>
                <w:rFonts w:ascii="仿宋_GB2312" w:hAnsi="仿宋_GB2312" w:cs="仿宋_GB2312" w:eastAsia="仿宋_GB2312"/>
                <w:sz w:val="28"/>
              </w:rPr>
              <w:t>《不动产登记数据库标准》；</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 xml:space="preserve">TD/T 1067-2021 </w:t>
            </w:r>
            <w:r>
              <w:rPr>
                <w:rFonts w:ascii="仿宋_GB2312" w:hAnsi="仿宋_GB2312" w:cs="仿宋_GB2312" w:eastAsia="仿宋_GB2312"/>
                <w:sz w:val="28"/>
              </w:rPr>
              <w:t>《不动产登记数据整合建库技术规范》；</w:t>
            </w:r>
          </w:p>
          <w:p>
            <w:pPr>
              <w:pStyle w:val="null3"/>
              <w:jc w:val="both"/>
            </w:pPr>
            <w:r>
              <w:rPr>
                <w:rFonts w:ascii="仿宋_GB2312" w:hAnsi="仿宋_GB2312" w:cs="仿宋_GB2312" w:eastAsia="仿宋_GB2312"/>
                <w:sz w:val="28"/>
              </w:rPr>
              <w:t xml:space="preserve">3. </w:t>
            </w:r>
            <w:r>
              <w:rPr>
                <w:rFonts w:ascii="仿宋_GB2312" w:hAnsi="仿宋_GB2312" w:cs="仿宋_GB2312" w:eastAsia="仿宋_GB2312"/>
                <w:sz w:val="28"/>
              </w:rPr>
              <w:t>验收标准</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）按照国家和省、市相关工作要求，按限期完成档案资料移交整理工作，切实做到总量清楚、问题明了、处置妥当，并完成档案资料与登记信息有效挂接。</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应以数据整合为主线和抓手，按照全量整合要求，全面完成属地原林业部门移交的依法颁发有效的林权类登记数据的清理和整合，数据整合后的林权类登记数据库应符合图形、属性、档案信息一致，未发现落“虚拟宗”等现象。</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）应按照试点工作要求，全面分层逐宗分析梳理相关问题，并形成问题台账和图册。且相关问题应在相关宗地数据中标注清楚。</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）应按照试点工作要求，全面组织开展问题疏解工作，形成林权规范数据库，并融合到不动产登记业务数据库中，应用于办理不动产登记业务；建立问题林权图斑数据库，问题的性质、范围、图形等表述清楚。</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）按照《自然资源部办公厅国家林业和草原局办公室关于进一步规范林权类不动产登记做好林权登记与林业管理衔接的通知》（自然资办发〔</w:t>
            </w:r>
            <w:r>
              <w:rPr>
                <w:rFonts w:ascii="仿宋_GB2312" w:hAnsi="仿宋_GB2312" w:cs="仿宋_GB2312" w:eastAsia="仿宋_GB2312"/>
                <w:sz w:val="28"/>
              </w:rPr>
              <w:t>2020</w:t>
            </w:r>
            <w:r>
              <w:rPr>
                <w:rFonts w:ascii="仿宋_GB2312" w:hAnsi="仿宋_GB2312" w:cs="仿宋_GB2312" w:eastAsia="仿宋_GB2312"/>
                <w:sz w:val="28"/>
              </w:rPr>
              <w:t>〕</w:t>
            </w:r>
            <w:r>
              <w:rPr>
                <w:rFonts w:ascii="仿宋_GB2312" w:hAnsi="仿宋_GB2312" w:cs="仿宋_GB2312" w:eastAsia="仿宋_GB2312"/>
                <w:sz w:val="28"/>
              </w:rPr>
              <w:t>31</w:t>
            </w:r>
            <w:r>
              <w:rPr>
                <w:rFonts w:ascii="仿宋_GB2312" w:hAnsi="仿宋_GB2312" w:cs="仿宋_GB2312" w:eastAsia="仿宋_GB2312"/>
                <w:sz w:val="28"/>
              </w:rPr>
              <w:t>号）要求，全面履行职责，规范办理林权不动产登记。</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成果提交要求：（</w:t>
            </w:r>
            <w:r>
              <w:rPr>
                <w:rFonts w:ascii="仿宋_GB2312" w:hAnsi="仿宋_GB2312" w:cs="仿宋_GB2312" w:eastAsia="仿宋_GB2312"/>
                <w:sz w:val="28"/>
              </w:rPr>
              <w:t>1</w:t>
            </w:r>
            <w:r>
              <w:rPr>
                <w:rFonts w:ascii="仿宋_GB2312" w:hAnsi="仿宋_GB2312" w:cs="仿宋_GB2312" w:eastAsia="仿宋_GB2312"/>
                <w:sz w:val="28"/>
              </w:rPr>
              <w:t>）不动产登记数据库（电子版</w:t>
            </w:r>
            <w:r>
              <w:rPr>
                <w:rFonts w:ascii="仿宋_GB2312" w:hAnsi="仿宋_GB2312" w:cs="仿宋_GB2312" w:eastAsia="仿宋_GB2312"/>
                <w:sz w:val="28"/>
              </w:rPr>
              <w:t>1</w:t>
            </w:r>
            <w:r>
              <w:rPr>
                <w:rFonts w:ascii="仿宋_GB2312" w:hAnsi="仿宋_GB2312" w:cs="仿宋_GB2312" w:eastAsia="仿宋_GB2312"/>
                <w:sz w:val="28"/>
              </w:rPr>
              <w:t>套）；（</w:t>
            </w:r>
            <w:r>
              <w:rPr>
                <w:rFonts w:ascii="仿宋_GB2312" w:hAnsi="仿宋_GB2312" w:cs="仿宋_GB2312" w:eastAsia="仿宋_GB2312"/>
                <w:sz w:val="28"/>
              </w:rPr>
              <w:t>2</w:t>
            </w:r>
            <w:r>
              <w:rPr>
                <w:rFonts w:ascii="仿宋_GB2312" w:hAnsi="仿宋_GB2312" w:cs="仿宋_GB2312" w:eastAsia="仿宋_GB2312"/>
                <w:sz w:val="28"/>
              </w:rPr>
              <w:t>）不动产登记数据库整合实施方案（纸质版</w:t>
            </w:r>
            <w:r>
              <w:rPr>
                <w:rFonts w:ascii="仿宋_GB2312" w:hAnsi="仿宋_GB2312" w:cs="仿宋_GB2312" w:eastAsia="仿宋_GB2312"/>
                <w:sz w:val="28"/>
              </w:rPr>
              <w:t>3</w:t>
            </w:r>
            <w:r>
              <w:rPr>
                <w:rFonts w:ascii="仿宋_GB2312" w:hAnsi="仿宋_GB2312" w:cs="仿宋_GB2312" w:eastAsia="仿宋_GB2312"/>
                <w:sz w:val="28"/>
              </w:rPr>
              <w:t>套）；（</w:t>
            </w:r>
            <w:r>
              <w:rPr>
                <w:rFonts w:ascii="仿宋_GB2312" w:hAnsi="仿宋_GB2312" w:cs="仿宋_GB2312" w:eastAsia="仿宋_GB2312"/>
                <w:sz w:val="28"/>
              </w:rPr>
              <w:t>3</w:t>
            </w:r>
            <w:r>
              <w:rPr>
                <w:rFonts w:ascii="仿宋_GB2312" w:hAnsi="仿宋_GB2312" w:cs="仿宋_GB2312" w:eastAsia="仿宋_GB2312"/>
                <w:sz w:val="28"/>
              </w:rPr>
              <w:t>）不动产登记数据库整合技术报告（纸质版</w:t>
            </w:r>
            <w:r>
              <w:rPr>
                <w:rFonts w:ascii="仿宋_GB2312" w:hAnsi="仿宋_GB2312" w:cs="仿宋_GB2312" w:eastAsia="仿宋_GB2312"/>
                <w:sz w:val="28"/>
              </w:rPr>
              <w:t>3</w:t>
            </w:r>
            <w:r>
              <w:rPr>
                <w:rFonts w:ascii="仿宋_GB2312" w:hAnsi="仿宋_GB2312" w:cs="仿宋_GB2312" w:eastAsia="仿宋_GB2312"/>
                <w:sz w:val="28"/>
              </w:rPr>
              <w:t>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 不足一年的可提供成立后任意时段的资产负债表）或投标文件递交截止时间前六个月内其基本账 户银行出具的资信证明（附基本账户证明）或政府采购信用担保机构出具的投标担保函；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提供投标文件截止时间前12个月内至少一个月已缴纳的社会保障资金的凭据（专用收据或社会保险缴纳清单）；依法不需要缴纳社会保障资金的供应商应提供相关文件证明；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提供投标文件截止时间前12个月内至少一个月已缴纳税收的凭据；依法免税的供应商应提供相关文件证明；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供应商须具备测绘乙级及以上（含乙级）资质；拟派项目负责人须具有测绘专业中级及以上（含中级）职称。</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供应商参加政府采购活动承诺书.docx 服务内容及服务邀请应答表 人员配备.docx 中小企业声明函 费用组成表.docx 商务应答表 报价表 业绩证明文件.docx 响应文件封面 政府采购供应商拒绝政府采购领域商业贿赂承诺书.docx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费用组成表.docx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投标人提供针对本项目需求，提供详细、清晰、科学、合理的服务方案，包含但不限于：①历史林权资料的收集②编制标准规范方案③工作流程④数据整理⑤数据汇交分析整合能力⑥实施保障措施。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投标人针对项目特点和执行要求制定具体的管理方案，包含但不限于：①项目组织的工作团队；②内部监督检查制度；③质量及安全把关制度；④纪律约束制度等；⑤投入人员安全生产管理制度。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投标人针对本项目提供的质量保证措施：包含但不限于①质量管理制度；②质量控制措施。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投标人针对本项目提供的进度计划保障措施：包含但不限于①总体进度计划保证措施；②重要时间节点保证措施。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重、难点分析方案</w:t>
            </w:r>
          </w:p>
        </w:tc>
        <w:tc>
          <w:tcPr>
            <w:tcW w:type="dxa" w:w="2492"/>
          </w:tcPr>
          <w:p>
            <w:pPr>
              <w:pStyle w:val="null3"/>
            </w:pPr>
            <w:r>
              <w:rPr>
                <w:rFonts w:ascii="仿宋_GB2312" w:hAnsi="仿宋_GB2312" w:cs="仿宋_GB2312" w:eastAsia="仿宋_GB2312"/>
              </w:rPr>
              <w:t>投标人针对本项目重、难点分析方案：包含但不限于①重难点分析；②重难点解决对策。 以上内容无缺项，专门针对本项目编制，符合本项目实际情况，内容全面详细，且条理清晰、准确、合理，能够保障项目顺利实施的每小项得2分。每小项缺项或者内容非针对于本项目的扣2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服务承诺、合理化建议</w:t>
            </w:r>
          </w:p>
        </w:tc>
        <w:tc>
          <w:tcPr>
            <w:tcW w:type="dxa" w:w="2492"/>
          </w:tcPr>
          <w:p>
            <w:pPr>
              <w:pStyle w:val="null3"/>
            </w:pPr>
            <w:r>
              <w:rPr>
                <w:rFonts w:ascii="仿宋_GB2312" w:hAnsi="仿宋_GB2312" w:cs="仿宋_GB2312" w:eastAsia="仿宋_GB2312"/>
              </w:rPr>
              <w:t>投标人针对本项目有具体的服务承诺、合理化建议及意见：包含但不限于①服务承诺；②合理化建议及意见。 以上内容无缺项，专门针对本项目编制，符合本项目实际情况，内容全面详细，且条理清晰、准确、合理，能够保障项目顺利实施的每小项得2分。每小项缺项或者内容非针对于本项目的扣2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项目主要成员（不含项目负责人）具有相关专业中级及以上的职称，每提供一名得2分，最高得10分。 提供相关证明资料，无资料不得分。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人员配备.docx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针对本项目提供详细的保密措施，措施及方案科学合理，完全满足项目需求计2分；措施及方法合理，基本满足项目需求计1分；措施及方法简单，不利于项目实施计0分。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投标人具有2022年1月1日以来(以合同签订时间为准)类似业绩，每提供一份合同得1分，最高得5分。 评审材料:投标文件中提供完整合同复印件并加盖投标人公章，未提供或提供不完整的不得分。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后续服务计划</w:t>
            </w:r>
          </w:p>
        </w:tc>
        <w:tc>
          <w:tcPr>
            <w:tcW w:type="dxa" w:w="2492"/>
          </w:tcPr>
          <w:p>
            <w:pPr>
              <w:pStyle w:val="null3"/>
            </w:pPr>
            <w:r>
              <w:rPr>
                <w:rFonts w:ascii="仿宋_GB2312" w:hAnsi="仿宋_GB2312" w:cs="仿宋_GB2312" w:eastAsia="仿宋_GB2312"/>
              </w:rPr>
              <w:t>根据投标人针对本项目制定的后续服务计划是否详细、合理，0-5分，未提供不得分。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投标报价得分=(评标基准价／投标报价)×10%×100。 注：投标报价不完整的，不进入评标基准价的计算，本项得0分；评标委员会认为投标人的报价明显低于其他通过符合性 审查投标人的报价，有可能影响服务质量或者不能诚信履约的，应当要求其在合理的时间内提供书面说明，必要时提交相关证明材料；投标人不能证明其报价合理性的，评标委员会应当将其作为无效投标处理。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