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版本号：ZCSP-大荔县-2025-0015720251008001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大荔柿子提质增效技术示范与推广</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ZCSP-大荔县-2025-00157</w:t>
      </w:r>
      <w:r>
        <w:br/>
      </w:r>
      <w:r>
        <w:br/>
      </w:r>
      <w:r>
        <w:br/>
      </w:r>
    </w:p>
    <w:p>
      <w:pPr>
        <w:pStyle w:val="null3"/>
        <w:jc w:val="center"/>
        <w:outlineLvl w:val="2"/>
      </w:pPr>
      <w:r>
        <w:rPr>
          <w:rFonts w:ascii="仿宋_GB2312" w:hAnsi="仿宋_GB2312" w:cs="仿宋_GB2312" w:eastAsia="仿宋_GB2312"/>
          <w:sz w:val="28"/>
          <w:b/>
        </w:rPr>
        <w:t>大荔县林业技术推广站</w:t>
      </w:r>
    </w:p>
    <w:p>
      <w:pPr>
        <w:pStyle w:val="null3"/>
        <w:jc w:val="center"/>
        <w:outlineLvl w:val="2"/>
      </w:pPr>
      <w:r>
        <w:rPr>
          <w:rFonts w:ascii="仿宋_GB2312" w:hAnsi="仿宋_GB2312" w:cs="仿宋_GB2312" w:eastAsia="仿宋_GB2312"/>
          <w:sz w:val="28"/>
          <w:b/>
        </w:rPr>
        <w:t>陕西利隆建设项目管理有限公司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陕西利隆建设项目管理有限公司</w:t>
      </w:r>
      <w:r>
        <w:rPr>
          <w:rFonts w:ascii="仿宋_GB2312" w:hAnsi="仿宋_GB2312" w:cs="仿宋_GB2312" w:eastAsia="仿宋_GB2312"/>
        </w:rPr>
        <w:t>（以下简称“代理机构”）受</w:t>
      </w:r>
      <w:r>
        <w:rPr>
          <w:rFonts w:ascii="仿宋_GB2312" w:hAnsi="仿宋_GB2312" w:cs="仿宋_GB2312" w:eastAsia="仿宋_GB2312"/>
        </w:rPr>
        <w:t>大荔县林业技术推广站</w:t>
      </w:r>
      <w:r>
        <w:rPr>
          <w:rFonts w:ascii="仿宋_GB2312" w:hAnsi="仿宋_GB2312" w:cs="仿宋_GB2312" w:eastAsia="仿宋_GB2312"/>
        </w:rPr>
        <w:t>委托，拟对</w:t>
      </w:r>
      <w:r>
        <w:rPr>
          <w:rFonts w:ascii="仿宋_GB2312" w:hAnsi="仿宋_GB2312" w:cs="仿宋_GB2312" w:eastAsia="仿宋_GB2312"/>
        </w:rPr>
        <w:t>大荔柿子提质增效技术示范与推广</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ZCSP-大荔县-2025-00157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大荔柿子提质增效技术示范与推广</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在大荔县段家镇建立柿子提质增效示范园1000亩，其中段家村、打虎村各500亩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采购包1（大荔柿子提质增效技术示范与推广）：属于专门面向中小企业采购。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1、具有独立承担民事责任的能力：供应商应具有独立承担民事责任的能力的企业法人,企业法人应提供统一社会信用代码的营业执照</w:t>
      </w:r>
    </w:p>
    <w:p>
      <w:pPr>
        <w:pStyle w:val="null3"/>
      </w:pPr>
      <w:r>
        <w:rPr>
          <w:rFonts w:ascii="仿宋_GB2312" w:hAnsi="仿宋_GB2312" w:cs="仿宋_GB2312" w:eastAsia="仿宋_GB2312"/>
        </w:rPr>
        <w:t>2、具有良好的商业信誉和健全的财务 会计制度：提供2024年度经审计的财务报告或开标前六个月内其基本账户银行出具的资信证明（附开户许可证）或财政部门认可的政府采购专业担保机构出具的担保函</w:t>
      </w:r>
    </w:p>
    <w:p>
      <w:pPr>
        <w:pStyle w:val="null3"/>
      </w:pPr>
      <w:r>
        <w:rPr>
          <w:rFonts w:ascii="仿宋_GB2312" w:hAnsi="仿宋_GB2312" w:cs="仿宋_GB2312" w:eastAsia="仿宋_GB2312"/>
        </w:rPr>
        <w:t>3、有依法缴纳税收和社会保障资金的良好记录：提供近半年以来任意1个月依法缴纳税收和社会保险的相关证明材料；注：依法免税或不需要缴纳社会保险的供应商提供相关部门出具的证明文件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6、法定代表人授权：法定代表人直接参加投标的，须出具法定代表人身份证明书；法定代表人授权代表参加投标的，须出具法定代表人授权委托书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7、资质要求：投标人为制造商须具备《农药登记证》、《农药生产许可证及产品执行标准》和《肥料登记证或农业农村部门肥料备案信息系统的备案凭证》；投标人为代理商须具备《农药经营许可证》、同时需要提供制造厂家的《农药登记证》、《农药生产许可证及产品执行标准》和《肥料登记证或农业农村部门肥料备案信息系统的备案凭证》</w:t>
      </w:r>
    </w:p>
    <w:p>
      <w:pPr>
        <w:pStyle w:val="null3"/>
      </w:pPr>
      <w:r>
        <w:rPr>
          <w:rFonts w:ascii="仿宋_GB2312" w:hAnsi="仿宋_GB2312" w:cs="仿宋_GB2312" w:eastAsia="仿宋_GB2312"/>
        </w:rPr>
        <w:t>8、信誉要求：投标人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9、关联关系：单位负责人为同一人或者存在直接控股、管理关系的不同投标人，不得参加同一合同包的政府采购活动</w:t>
      </w:r>
    </w:p>
    <w:p>
      <w:pPr>
        <w:pStyle w:val="null3"/>
      </w:pPr>
      <w:r>
        <w:rPr>
          <w:rFonts w:ascii="仿宋_GB2312" w:hAnsi="仿宋_GB2312" w:cs="仿宋_GB2312" w:eastAsia="仿宋_GB2312"/>
        </w:rPr>
        <w:t>10、联合体投标：本项目不接受联合体投标（提供非联合体投标声明函）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大荔县林业技术推广站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大荔县城关镇南关路2号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18091361889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陕西利隆建设项目管理有限公司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陕西省渭南市临渭区朝阳大街中段审计大厦东座301室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宋敏歌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0913-2056859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开户名称：陕西利隆建设项目管理有限公司</w:t>
            </w:r>
          </w:p>
          <w:p>
            <w:pPr>
              <w:pStyle w:val="null3"/>
            </w:pPr>
            <w:r>
              <w:rPr>
                <w:rFonts w:ascii="仿宋_GB2312" w:hAnsi="仿宋_GB2312" w:cs="仿宋_GB2312" w:eastAsia="仿宋_GB2312"/>
              </w:rPr>
              <w:t>开户银行：中国工商银行股份有限公司渭南仓程路支行</w:t>
            </w:r>
          </w:p>
          <w:p>
            <w:pPr>
              <w:pStyle w:val="null3"/>
            </w:pPr>
            <w:r>
              <w:rPr>
                <w:rFonts w:ascii="仿宋_GB2312" w:hAnsi="仿宋_GB2312" w:cs="仿宋_GB2312" w:eastAsia="仿宋_GB2312"/>
              </w:rPr>
              <w:t>银行账号：2605025909020001177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代理服务费收费标准：《招标代理服务收费管理暂行办法》计价格[2002]1980号文和发改价格[2011]534号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大荔县林业技术推广站</w:t>
      </w:r>
      <w:r>
        <w:rPr>
          <w:rFonts w:ascii="仿宋_GB2312" w:hAnsi="仿宋_GB2312" w:cs="仿宋_GB2312" w:eastAsia="仿宋_GB2312"/>
        </w:rPr>
        <w:t>和</w:t>
      </w:r>
      <w:r>
        <w:rPr>
          <w:rFonts w:ascii="仿宋_GB2312" w:hAnsi="仿宋_GB2312" w:cs="仿宋_GB2312" w:eastAsia="仿宋_GB2312"/>
        </w:rPr>
        <w:t>陕西利隆建设项目管理有限公司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大荔县林业技术推广站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陕西利隆建设项目管理有限公司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大荔县林业技术推广站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陕西利隆建设项目管理有限公司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2、所有产品均已运输至指定地点；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陕西利隆建设项目管理有限公司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陕西利隆建设项目管理有限公司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陕西利隆建设项目管理有限公司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联系人：宋敏歌</w:t>
      </w:r>
    </w:p>
    <w:p>
      <w:pPr>
        <w:pStyle w:val="null3"/>
      </w:pPr>
      <w:r>
        <w:rPr>
          <w:rFonts w:ascii="仿宋_GB2312" w:hAnsi="仿宋_GB2312" w:cs="仿宋_GB2312" w:eastAsia="仿宋_GB2312"/>
        </w:rPr>
        <w:t>联系电话：0913-2056859</w:t>
      </w:r>
    </w:p>
    <w:p>
      <w:pPr>
        <w:pStyle w:val="null3"/>
      </w:pPr>
      <w:r>
        <w:rPr>
          <w:rFonts w:ascii="仿宋_GB2312" w:hAnsi="仿宋_GB2312" w:cs="仿宋_GB2312" w:eastAsia="仿宋_GB2312"/>
        </w:rPr>
        <w:t>地址：陕西省渭南市临渭区朝阳大街中段审计大厦东座301室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在大荔县段家镇建立柿子提质增效示范园1000亩，其中段家村、打虎村各500亩</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增施有机肥、农药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标的名称：增施有机肥、农药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本项目核心产品为：农药</w:t>
            </w:r>
          </w:p>
          <w:tbl>
            <w:tblPr>
              <w:tblBorders>
                <w:top w:val="single"/>
                <w:left w:val="single"/>
                <w:bottom w:val="single"/>
                <w:right w:val="single"/>
                <w:insideH w:val="single"/>
                <w:insideV w:val="single"/>
              </w:tblBorders>
            </w:tblPr>
            <w:tblGrid>
              <w:gridCol w:w="169"/>
              <w:gridCol w:w="389"/>
              <w:gridCol w:w="248"/>
              <w:gridCol w:w="341"/>
              <w:gridCol w:w="1404"/>
            </w:tblGrid>
            <w:tr>
              <w:tc>
                <w:tcPr>
                  <w:tcW w:type="dxa" w:w="16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序号</w:t>
                  </w:r>
                </w:p>
              </w:tc>
              <w:tc>
                <w:tcPr>
                  <w:tcW w:type="dxa" w:w="3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项目</w:t>
                  </w:r>
                </w:p>
              </w:tc>
              <w:tc>
                <w:tcPr>
                  <w:tcW w:type="dxa" w:w="2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单位</w:t>
                  </w:r>
                </w:p>
              </w:tc>
              <w:tc>
                <w:tcPr>
                  <w:tcW w:type="dxa" w:w="34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数  量</w:t>
                  </w:r>
                </w:p>
              </w:tc>
              <w:tc>
                <w:tcPr>
                  <w:tcW w:type="dxa" w:w="140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主要参数</w:t>
                  </w:r>
                </w:p>
              </w:tc>
            </w:tr>
            <w:tr>
              <w:tc>
                <w:tcPr>
                  <w:tcW w:type="dxa" w:w="169"/>
                  <w:vMerge/>
                  <w:tcBorders>
                    <w:top w:val="single" w:color="000000" w:sz="4"/>
                    <w:left w:val="single" w:color="000000" w:sz="4"/>
                    <w:bottom w:val="single" w:color="000000" w:sz="4"/>
                    <w:right w:val="single" w:color="000000" w:sz="4"/>
                  </w:tcBorders>
                </w:tcPr>
                <w:p/>
              </w:tc>
              <w:tc>
                <w:tcPr>
                  <w:tcW w:type="dxa" w:w="389"/>
                  <w:vMerge/>
                  <w:tcBorders>
                    <w:top w:val="single" w:color="000000" w:sz="4"/>
                    <w:left w:val="single" w:color="000000" w:sz="4"/>
                    <w:bottom w:val="single" w:color="000000" w:sz="4"/>
                    <w:right w:val="single" w:color="000000" w:sz="4"/>
                  </w:tcBorders>
                </w:tcPr>
                <w:p/>
              </w:tc>
              <w:tc>
                <w:tcPr>
                  <w:tcW w:type="dxa" w:w="248"/>
                  <w:vMerge/>
                  <w:tcBorders>
                    <w:top w:val="single" w:color="000000" w:sz="4"/>
                    <w:left w:val="single" w:color="000000" w:sz="4"/>
                    <w:bottom w:val="single" w:color="000000" w:sz="4"/>
                    <w:right w:val="single" w:color="000000" w:sz="4"/>
                  </w:tcBorders>
                </w:tcPr>
                <w:p/>
              </w:tc>
              <w:tc>
                <w:tcPr>
                  <w:tcW w:type="dxa" w:w="341"/>
                  <w:vMerge/>
                  <w:tcBorders>
                    <w:top w:val="single" w:color="000000" w:sz="4"/>
                    <w:left w:val="single" w:color="000000" w:sz="4"/>
                    <w:bottom w:val="single" w:color="000000" w:sz="4"/>
                    <w:right w:val="single" w:color="000000" w:sz="4"/>
                  </w:tcBorders>
                </w:tcPr>
                <w:p/>
              </w:tc>
              <w:tc>
                <w:tcPr>
                  <w:tcW w:type="dxa" w:w="1404"/>
                  <w:vMerge/>
                  <w:tcBorders>
                    <w:top w:val="single" w:color="000000" w:sz="4"/>
                    <w:left w:val="single" w:color="000000" w:sz="4"/>
                    <w:bottom w:val="single" w:color="000000" w:sz="4"/>
                    <w:right w:val="single" w:color="000000" w:sz="4"/>
                  </w:tcBorders>
                </w:tcPr>
                <w:p/>
              </w:tc>
            </w:tr>
            <w:tr>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w:t>
                  </w:r>
                </w:p>
              </w:tc>
              <w:tc>
                <w:tcPr>
                  <w:tcW w:type="dxa" w:w="3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有机肥</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kg</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300000</w:t>
                  </w:r>
                </w:p>
              </w:tc>
              <w:tc>
                <w:tcPr>
                  <w:tcW w:type="dxa" w:w="1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color w:val="000000"/>
                    </w:rPr>
                    <w:t>有效活菌数≥0.2亿/g，有机质≥40%，水分含量≤30%，pH值5.5-8.5。 执行标准NY884-2012-颗粒</w:t>
                  </w:r>
                </w:p>
              </w:tc>
            </w:tr>
            <w:tr>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w:t>
                  </w:r>
                </w:p>
              </w:tc>
              <w:tc>
                <w:tcPr>
                  <w:tcW w:type="dxa" w:w="3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太阳能杀虫灯</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台</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10</w:t>
                  </w:r>
                </w:p>
              </w:tc>
              <w:tc>
                <w:tcPr>
                  <w:tcW w:type="dxa" w:w="1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rPr>
                    <w:t>1.诱虫光源类型：紫外光灯管或LED多光谱光源</w:t>
                  </w:r>
                </w:p>
                <w:p>
                  <w:pPr>
                    <w:pStyle w:val="null3"/>
                    <w:jc w:val="left"/>
                  </w:pPr>
                  <w:r>
                    <w:rPr>
                      <w:rFonts w:ascii="仿宋_GB2312" w:hAnsi="仿宋_GB2312" w:cs="仿宋_GB2312" w:eastAsia="仿宋_GB2312"/>
                    </w:rPr>
                    <w:t xml:space="preserve">2.诱虫光谱范围：320nm-680nm  </w:t>
                  </w:r>
                </w:p>
                <w:p>
                  <w:pPr>
                    <w:pStyle w:val="null3"/>
                    <w:jc w:val="left"/>
                  </w:pPr>
                  <w:r>
                    <w:rPr>
                      <w:rFonts w:ascii="仿宋_GB2312" w:hAnsi="仿宋_GB2312" w:cs="仿宋_GB2312" w:eastAsia="仿宋_GB2312"/>
                    </w:rPr>
                    <w:t>3.单灯控制半径/面积：农田≥100m,约20-50亩/台</w:t>
                  </w:r>
                </w:p>
                <w:p>
                  <w:pPr>
                    <w:pStyle w:val="null3"/>
                    <w:jc w:val="left"/>
                  </w:pPr>
                  <w:r>
                    <w:rPr>
                      <w:rFonts w:ascii="仿宋_GB2312" w:hAnsi="仿宋_GB2312" w:cs="仿宋_GB2312" w:eastAsia="仿宋_GB2312"/>
                    </w:rPr>
                    <w:t>5.整体材质：灯体不锈钢/ABS</w:t>
                  </w:r>
                </w:p>
                <w:p>
                  <w:pPr>
                    <w:pStyle w:val="null3"/>
                    <w:jc w:val="left"/>
                  </w:pPr>
                  <w:r>
                    <w:rPr>
                      <w:rFonts w:ascii="仿宋_GB2312" w:hAnsi="仿宋_GB2312" w:cs="仿宋_GB2312" w:eastAsia="仿宋_GB2312"/>
                    </w:rPr>
                    <w:t>6.整体高度：2m-3.5m</w:t>
                  </w:r>
                </w:p>
                <w:p>
                  <w:pPr>
                    <w:pStyle w:val="null3"/>
                    <w:jc w:val="left"/>
                  </w:pPr>
                  <w:r>
                    <w:rPr>
                      <w:rFonts w:ascii="仿宋_GB2312" w:hAnsi="仿宋_GB2312" w:cs="仿宋_GB2312" w:eastAsia="仿宋_GB2312"/>
                    </w:rPr>
                    <w:t>7.智能控制：光控系统、雨控系统。</w:t>
                  </w:r>
                </w:p>
              </w:tc>
            </w:tr>
            <w:tr>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w:t>
                  </w:r>
                </w:p>
              </w:tc>
              <w:tc>
                <w:tcPr>
                  <w:tcW w:type="dxa" w:w="3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农药</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亩</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1000</w:t>
                  </w:r>
                </w:p>
              </w:tc>
              <w:tc>
                <w:tcPr>
                  <w:tcW w:type="dxa" w:w="1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rPr>
                    <w:t>1.杀虫剂：噻嗪酮/氟啶螺虫酯/稻丰散、联苯噻虫嗪/高氯吡丙醚/呋虫胺氟啶虫酰胺、甲维盐/高效氯氟氰菊酯等（针对蚧壳虫、粉虱、蚜虫、柿蒂虫、柿黑蛀螟、绿盲蝽等）</w:t>
                  </w:r>
                </w:p>
                <w:p>
                  <w:pPr>
                    <w:pStyle w:val="null3"/>
                  </w:pPr>
                  <w:r>
                    <w:rPr>
                      <w:rFonts w:ascii="仿宋_GB2312" w:hAnsi="仿宋_GB2312" w:cs="仿宋_GB2312" w:eastAsia="仿宋_GB2312"/>
                    </w:rPr>
                    <w:t>2.杀菌剂：戊唑醇/烯肟菌胺戊唑醇/吡唑醚菌酯、苯醚甲环唑/苯甲多菌灵等（针对炭疽病、角斑病、圆斑病）</w:t>
                  </w:r>
                </w:p>
                <w:p>
                  <w:pPr>
                    <w:pStyle w:val="null3"/>
                  </w:pPr>
                  <w:r>
                    <w:rPr>
                      <w:rFonts w:ascii="仿宋_GB2312" w:hAnsi="仿宋_GB2312" w:cs="仿宋_GB2312" w:eastAsia="仿宋_GB2312"/>
                    </w:rPr>
                    <w:t>3.植物生长调节剂、叶面肥：芸苔素、氨基酸/钙肥、高磷高钾叶面肥</w:t>
                  </w:r>
                </w:p>
              </w:tc>
            </w:tr>
            <w:tr>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w:t>
                  </w:r>
                </w:p>
              </w:tc>
              <w:tc>
                <w:tcPr>
                  <w:tcW w:type="dxa" w:w="3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嫁接费</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亩</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 xml:space="preserve">10000 </w:t>
                  </w:r>
                </w:p>
              </w:tc>
              <w:tc>
                <w:tcPr>
                  <w:tcW w:type="dxa" w:w="1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rPr>
                    <w:t xml:space="preserve">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合同签订后10日内交货完成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大荔县段家镇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收到货物并验收合格后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中期验收合格后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2、所有产品均已运输至指定地点；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供应商应具有独立承担民事责任的能力的企业法人,企业法人应提供统一社会信用代码的营业执照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 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提供2024年度经审计的财务报告或开标前六个月内其基本账户银行出具的资信证明（附开户许可证）或财政部门认可的政府采购专业担保机构出具的担保函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提供近半年以来任意1个月依法缴纳税收和社会保险的相关证明材料；注：依法免税或不需要缴纳社会保险的供应商提供相关部门出具的证明文件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制造商须具备《农药登记证》、《农药生产许可证及产品执行标准》和《肥料登记证或农业农村部门肥料备案信息系统的备案凭证》；投标人为代理商须具备《农药经营许可证》、同时需要提供制造厂家的《农药登记证》、《农药生产许可证及产品执行标准》和《肥料登记证或农业农村部门肥料备案信息系统的备案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不得为“中国执行信息公开网”（http://zxgk.court.gov.cn/shixin/）失信被执行人和“信用中国(www.creditchina.gov.cn)”中列入重大税收违法案件当事人名单的供应商，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单位负责人为同一人或者存在直接控股、管理关系的不同投标人，不得参加同一合同包的政府采购活动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本项目不接受联合体投标（提供非联合体投标声明函）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投标文件以下三处的项目名称、项目编号无遗漏，且与本项目一致： （1）封面； （2）投标函； （3）法定代表人委托授权书。 说明：以投标函中的项目名称、项目编号为准。</w:t>
            </w:r>
          </w:p>
        </w:tc>
        <w:tc>
          <w:tcPr>
            <w:tcW w:type="dxa" w:w="1661"/>
          </w:tcPr>
          <w:p>
            <w:pPr>
              <w:pStyle w:val="null3"/>
            </w:pPr>
            <w:r>
              <w:rPr>
                <w:rFonts w:ascii="仿宋_GB2312" w:hAnsi="仿宋_GB2312" w:cs="仿宋_GB2312" w:eastAsia="仿宋_GB2312"/>
              </w:rPr>
              <w:t>法定代表人身份证明、法定代表人授权委托书.docx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按招标文件要求进行签章</w:t>
            </w:r>
          </w:p>
        </w:tc>
        <w:tc>
          <w:tcPr>
            <w:tcW w:type="dxa" w:w="1661"/>
          </w:tcPr>
          <w:p>
            <w:pPr>
              <w:pStyle w:val="null3"/>
            </w:pPr>
            <w:r>
              <w:rPr>
                <w:rFonts w:ascii="仿宋_GB2312" w:hAnsi="仿宋_GB2312" w:cs="仿宋_GB2312" w:eastAsia="仿宋_GB2312"/>
              </w:rPr>
              <w:t>法定代表人身份证明、法定代表人授权委托书.docx 中小企业声明函 商务响应表.docx 投标人应提交的相关资格证明材料 技术指标响应表.docx 投标函 残疾人福利性单位声明函 人员情况表.docx 标的清单 投标文件封面 实施方案.docx 监狱企业的证明文件 业绩响应表.docx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（1）报价符合唯一性要求： （2）报价一览表 填写符合要求； （3）报价货币符合招标文件要 求； （4）未超出采购文件规定的最采购预算。</w:t>
            </w:r>
          </w:p>
        </w:tc>
        <w:tc>
          <w:tcPr>
            <w:tcW w:type="dxa" w:w="1661"/>
          </w:tcPr>
          <w:p>
            <w:pPr>
              <w:pStyle w:val="null3"/>
            </w:pPr>
            <w:r>
              <w:rPr>
                <w:rFonts w:ascii="仿宋_GB2312" w:hAnsi="仿宋_GB2312" w:cs="仿宋_GB2312" w:eastAsia="仿宋_GB2312"/>
              </w:rPr>
              <w:t>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投标文件对交货期、质保期、付款方式、验收等商务要求进行详细说明，应完全符合、满足招标文件技术要求，在此基础上每有一条正偏离得1分，最多得4分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所投产品应完全符合、满足招标文件技术要求，在此基础上每有一条正偏离得1分，最多得3分（产品应有详细的说明介绍并能提供生产厂家出具的功能证明材料，包括但不限于检测报告、彩页、说明书等相关资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技术指标响应表.docx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投标人提供所投产品的合法来源渠道证明文件，共三项产品，每提供一项得1分，满分3分，不提供不得分。以下资料提供任意一种： 1、如投标人为所投产品代理商：提供货物的合法来源渠道证明文件（例如：产品制造商授权、销售协议、代理协议等证明文件）。 2、如投标人为所投产品的制造商：需提供情况说明（说明某一项产品为制造商自己生产）。 备注：以加盖投标人公章的证明材料复印件为计分依据，不提供不得分。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提供投标人2022年1月至今（时间以合同签订时间为准）类似项目业绩，每份计2分，计满10分为止。 备注：需提供完整业绩合同，并加盖投标人公章。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拟投入的人员安排合理，岗位明确、符合项目实施要求，每配备一个人员得0.5分，本项最高得3分。 注：提供人员的相关证明材料，否则不得分。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人员情况表.docx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一、评审内容（3分/项） 项目组织实施计划完整可行，内容包括：①备货、供货进度及保证措施；②拟投入本项目的人员安排及责任制度；③所投产品的质量保证措施。 二、评审标准 （1）针对性：符合本项目实际情况，专业性强、内容科学合理； （2）完整性：内容完整详细，条理清晰； （3）可实施性：安排及措施可实施性强。 三、赋分依据（满分9分）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一、评审内容（3分/项） 根据项目实际需求，提供质量保证方案。内容包含：①所投产品制造厂家有可靠、完善的管理制度；②有足够的加工、检验能力；③所投产品符合国内相关标准，有具体可行的质量保证承诺，保证使用单位能熟练、安全使用。 二、评审标准 （1）针对性：符合本项目实际情况，专业性强、内容科学合理； （2）完整性：内容完整详细，条理清晰； （3）可实施性：安排及措施可实施性强。 三、赋分依据（满分9分）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产品保障措施</w:t>
            </w:r>
          </w:p>
        </w:tc>
        <w:tc>
          <w:tcPr>
            <w:tcW w:type="dxa" w:w="2492"/>
          </w:tcPr>
          <w:p>
            <w:pPr>
              <w:pStyle w:val="null3"/>
            </w:pPr>
            <w:r>
              <w:rPr>
                <w:rFonts w:ascii="仿宋_GB2312" w:hAnsi="仿宋_GB2312" w:cs="仿宋_GB2312" w:eastAsia="仿宋_GB2312"/>
              </w:rPr>
              <w:t>一、评审内容（3分/项） 根据项目实际需求，提供产品保障措施。内容包含：①产品具有安全性的保障措施；②产品成分配比齐全保障措施；③投标产品选型科学、来源渠道正规的保障措施。 二、评审标准 （1）针对性：符合本项目实际情况，专业性强、内容科学合理； （2）完整性：内容完整详细，条理清晰； （3）可实施性：安排及措施可实施性强。 三、赋分依据（满分9分）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一、评审内容（3分/项） 根据项目实际需求，提供织保障措施。内容包含：①遇见突发事件的应急处理方案；②农药及化肥配备及安全发放的方案。 二、评审标准 （1）针对性：符合本项目实际情况，专业性强、内容科学合理； （2）完整性：内容完整详细，条理清晰； （3）可实施性：安排及措施可实施性强。 三、赋分依据（满分6分）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一、评审内容（3分/项） 根据项目实际需求提供售后服务方案。内容包含：①售后服务范围及保障措施②售后服务承诺③响应时间。 二、评审标准 （1）针对性：符合本项目实际情况，专业性强、内容科学合理； （2）完整性：内容完整详细，条理清晰； （3）可实施性：安排及措施可实施性强。 三、赋分依据（满分9分）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培训方案，能够让使用人群熟练掌握本产品使用剂量和方法，内容包含方案但不限于：培训目标、内容、培训方式、培训计划、培训人员及培训地点等。 ①内容详细全面、层次清楚、完善可行的计5分； ②内容包含全面，但未针对各项内容进行详细描述的计4分； ③针对以上方案要求，有1项欠缺或只有书面承诺，缺少具体措施办法的计3分； ④针对以上方案要求，有2项欠缺的计2分； ⑤针对以上方案要求，有3项欠缺的计1分； ⑥未提供本项内容的不计分。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详见附件：业绩响应表.docx</w:t>
      </w:r>
    </w:p>
    <w:p>
      <w:pPr>
        <w:pStyle w:val="null3"/>
        <w:ind w:firstLine="960"/>
      </w:pPr>
      <w:r>
        <w:rPr>
          <w:rFonts w:ascii="仿宋_GB2312" w:hAnsi="仿宋_GB2312" w:cs="仿宋_GB2312" w:eastAsia="仿宋_GB2312"/>
        </w:rPr>
        <w:t>详见附件：人员情况表.docx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