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版本号：HY-ZB-051-202520251121002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第二批中省政法转移支付装备购置项目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HY-ZB-051-2025</w:t>
      </w:r>
      <w:r>
        <w:br/>
      </w:r>
      <w:r>
        <w:br/>
      </w:r>
      <w:r>
        <w:br/>
      </w:r>
    </w:p>
    <w:p>
      <w:pPr>
        <w:pStyle w:val="null3"/>
        <w:jc w:val="center"/>
        <w:outlineLvl w:val="2"/>
      </w:pPr>
      <w:r>
        <w:rPr>
          <w:rFonts w:ascii="仿宋_GB2312" w:hAnsi="仿宋_GB2312" w:cs="仿宋_GB2312" w:eastAsia="仿宋_GB2312"/>
          <w:sz w:val="28"/>
          <w:b/>
        </w:rPr>
        <w:t>大荔县人民法院</w:t>
      </w:r>
    </w:p>
    <w:p>
      <w:pPr>
        <w:pStyle w:val="null3"/>
        <w:jc w:val="center"/>
        <w:outlineLvl w:val="2"/>
      </w:pPr>
      <w:r>
        <w:rPr>
          <w:rFonts w:ascii="仿宋_GB2312" w:hAnsi="仿宋_GB2312" w:cs="仿宋_GB2312" w:eastAsia="仿宋_GB2312"/>
          <w:sz w:val="28"/>
          <w:b/>
        </w:rPr>
        <w:t>陕西翰元工程咨询有限公司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陕西翰元工程咨询有限公司</w:t>
      </w:r>
      <w:r>
        <w:rPr>
          <w:rFonts w:ascii="仿宋_GB2312" w:hAnsi="仿宋_GB2312" w:cs="仿宋_GB2312" w:eastAsia="仿宋_GB2312"/>
        </w:rPr>
        <w:t>（以下简称“代理机构”）受</w:t>
      </w:r>
      <w:r>
        <w:rPr>
          <w:rFonts w:ascii="仿宋_GB2312" w:hAnsi="仿宋_GB2312" w:cs="仿宋_GB2312" w:eastAsia="仿宋_GB2312"/>
        </w:rPr>
        <w:t>大荔县人民法院</w:t>
      </w:r>
      <w:r>
        <w:rPr>
          <w:rFonts w:ascii="仿宋_GB2312" w:hAnsi="仿宋_GB2312" w:cs="仿宋_GB2312" w:eastAsia="仿宋_GB2312"/>
        </w:rPr>
        <w:t>委托，拟对</w:t>
      </w:r>
      <w:r>
        <w:rPr>
          <w:rFonts w:ascii="仿宋_GB2312" w:hAnsi="仿宋_GB2312" w:cs="仿宋_GB2312" w:eastAsia="仿宋_GB2312"/>
        </w:rPr>
        <w:t>第二批中省政法转移支付装备购置项目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HY-ZB-051-2025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第二批中省政法转移支付装备购置项目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采购国产化系统及网络安全设备。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1、具有独立承担民事责任的能力：投标人为具有独立承担民事责任的能力的企业法人、其他组织或者自然人。</w:t>
      </w:r>
    </w:p>
    <w:p>
      <w:pPr>
        <w:pStyle w:val="null3"/>
      </w:pPr>
      <w:r>
        <w:rPr>
          <w:rFonts w:ascii="仿宋_GB2312" w:hAnsi="仿宋_GB2312" w:cs="仿宋_GB2312" w:eastAsia="仿宋_GB2312"/>
        </w:rPr>
        <w:t>2、供应商应提供健全的财务会计制度的证明材料：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p>
      <w:pPr>
        <w:pStyle w:val="null3"/>
      </w:pPr>
      <w:r>
        <w:rPr>
          <w:rFonts w:ascii="仿宋_GB2312" w:hAnsi="仿宋_GB2312" w:cs="仿宋_GB2312" w:eastAsia="仿宋_GB2312"/>
        </w:rPr>
        <w:t>3、社会保障资金缴纳证明：社会保障资金缴纳证明：提供投标文件递交截止时间前12个月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4、税收缴纳证明：税收缴纳证明：提供投标文件递交截止 时间前12个月内任意一个月的缴费凭据；依法免税的应提供相关文件证明；</w:t>
      </w:r>
    </w:p>
    <w:p>
      <w:pPr>
        <w:pStyle w:val="null3"/>
      </w:pPr>
      <w:r>
        <w:rPr>
          <w:rFonts w:ascii="仿宋_GB2312" w:hAnsi="仿宋_GB2312" w:cs="仿宋_GB2312" w:eastAsia="仿宋_GB2312"/>
        </w:rPr>
        <w:t>5、具有履行合同的声明：提供具有履行本合同所必需的设备和专业技术能力的说明或承诺；</w:t>
      </w:r>
    </w:p>
    <w:p>
      <w:pPr>
        <w:pStyle w:val="null3"/>
      </w:pPr>
      <w:r>
        <w:rPr>
          <w:rFonts w:ascii="仿宋_GB2312" w:hAnsi="仿宋_GB2312" w:cs="仿宋_GB2312" w:eastAsia="仿宋_GB2312"/>
        </w:rPr>
        <w:t>6、无重大违法记录书面声明：参加政府采购活动前三年内在经营活动中无重大违法记录的书面声明；</w:t>
      </w:r>
    </w:p>
    <w:p>
      <w:pPr>
        <w:pStyle w:val="null3"/>
      </w:pPr>
      <w:r>
        <w:rPr>
          <w:rFonts w:ascii="仿宋_GB2312" w:hAnsi="仿宋_GB2312" w:cs="仿宋_GB2312" w:eastAsia="仿宋_GB2312"/>
        </w:rPr>
        <w:t>7、法定代表人授权书或法定代表人身份证明书：为企业法定代表人出具，信息真实合法有效，附有法定代表人和被委托人身份证复印件且人证相符（若法定代表人直接参加投标会则须提供法定代表人身份证明及法定代表人身份证复印件）；</w:t>
      </w:r>
    </w:p>
    <w:p>
      <w:pPr>
        <w:pStyle w:val="null3"/>
      </w:pPr>
      <w:r>
        <w:rPr>
          <w:rFonts w:ascii="仿宋_GB2312" w:hAnsi="仿宋_GB2312" w:cs="仿宋_GB2312" w:eastAsia="仿宋_GB2312"/>
        </w:rPr>
        <w:t>8、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大荔县西城街道办荔北中队往西500米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大荔县人民法院经办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18792307866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陕西翰元工程咨询有限公司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大荔县西城街道办西二环北段551号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李沙沙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13093977939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王小菊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0913-3256399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大荔县人民法院</w:t>
      </w:r>
      <w:r>
        <w:rPr>
          <w:rFonts w:ascii="仿宋_GB2312" w:hAnsi="仿宋_GB2312" w:cs="仿宋_GB2312" w:eastAsia="仿宋_GB2312"/>
        </w:rPr>
        <w:t>和</w:t>
      </w:r>
      <w:r>
        <w:rPr>
          <w:rFonts w:ascii="仿宋_GB2312" w:hAnsi="仿宋_GB2312" w:cs="仿宋_GB2312" w:eastAsia="仿宋_GB2312"/>
        </w:rPr>
        <w:t>陕西翰元工程咨询有限公司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大荔县人民法院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陕西翰元工程咨询有限公司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陕西翰元工程咨询有限公司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联系人：李沙沙</w:t>
      </w:r>
    </w:p>
    <w:p>
      <w:pPr>
        <w:pStyle w:val="null3"/>
      </w:pPr>
      <w:r>
        <w:rPr>
          <w:rFonts w:ascii="仿宋_GB2312" w:hAnsi="仿宋_GB2312" w:cs="仿宋_GB2312" w:eastAsia="仿宋_GB2312"/>
        </w:rPr>
        <w:t>联系电话：13093977939</w:t>
      </w:r>
    </w:p>
    <w:p>
      <w:pPr>
        <w:pStyle w:val="null3"/>
      </w:pPr>
      <w:r>
        <w:rPr>
          <w:rFonts w:ascii="仿宋_GB2312" w:hAnsi="仿宋_GB2312" w:cs="仿宋_GB2312" w:eastAsia="仿宋_GB2312"/>
        </w:rPr>
        <w:t>地址：大荔县西城街道办西二环北段551号</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采购国产化系统及网络安全设备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国产一体化设备等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标的名称：国产一体化设备等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color w:val="000000"/>
              </w:rPr>
              <w:t>国产化云桌面一体机，4台</w:t>
            </w:r>
          </w:p>
          <w:p>
            <w:pPr>
              <w:pStyle w:val="null3"/>
            </w:pPr>
            <w:r>
              <w:rPr>
                <w:rFonts w:ascii="仿宋_GB2312" w:hAnsi="仿宋_GB2312" w:cs="仿宋_GB2312" w:eastAsia="仿宋_GB2312"/>
              </w:rPr>
              <w:t>规格参数：</w:t>
            </w:r>
          </w:p>
          <w:p>
            <w:pPr>
              <w:pStyle w:val="null3"/>
              <w:jc w:val="left"/>
            </w:pPr>
            <w:r>
              <w:rPr>
                <w:rFonts w:ascii="仿宋_GB2312" w:hAnsi="仿宋_GB2312" w:cs="仿宋_GB2312" w:eastAsia="仿宋_GB2312"/>
                <w:sz w:val="20"/>
                <w:color w:val="000000"/>
              </w:rPr>
              <w:t>1.CPU:2颗，要求：国产化，主频≥2.5Ghz，核数≥16。内存≥320G 3200MHz DDR4系统盘≥2*200GB SSD，数据盘≥2*900GB SSD，HDD≥4*6TB。网络：GE接口≥ 4个；万兆光口≥4个。</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支持远程协助功能，管理员可发起协助请求，用户同意后，管理员可查看、操作用户终端。支持管理员给终端设备批量发送消息。</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为了确保系统的安全与稳定，平台具备限制用户在应用虚拟化服务器上进行高级操作的能力，防止潜在危险行为的发生。包括但不限于禁止访问注册表、任务管理器、资源管理器和控制面板，以及禁用CMD命令提示符。平台可隐藏服务器的本地磁盘、禁止运行特定文件、隐藏回收站并禁止访问网上邻居。（提供产品功能截图）</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为满足办公人员通过桌面云平台快速访问本地大容量文件的需求，所选产品应兼容便携式存储设备，并确保在千兆网络环境下，其数据传输速率至少达到50MB/s。（提供产品功能截图及第三方检测报告）</w:t>
            </w:r>
          </w:p>
          <w:p>
            <w:pPr>
              <w:pStyle w:val="null3"/>
              <w:jc w:val="left"/>
            </w:pPr>
            <w:r>
              <w:rPr>
                <w:rFonts w:ascii="仿宋_GB2312" w:hAnsi="仿宋_GB2312" w:cs="仿宋_GB2312" w:eastAsia="仿宋_GB2312"/>
                <w:sz w:val="20"/>
                <w:color w:val="000000"/>
              </w:rPr>
              <w:t>5.为便于统一管理，支持远程管理、批量对客户机进行软件分发、文件部署、客户端升级、系统升级、补丁升级等，并且能设置相关的部署/升级策略，如设置执行策略为周期执行等。</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为了优化云桌面环境中业务应用的使用感受，可以对当前频繁使用的软件进行专门的性能提升。此外，管理者还有权限根据需求自定义需要加速的应用程序进程名称，确保这些应用能够流畅无阻地运行。（提供产品功能截图）</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平台支持支持就近打印，通过IP进行配置关联，实现对应打印机的就近打印。（提供产品功能截图）</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为提升桌面云平台问题处理的效率，并减轻管理员的运维压力，运维平台应具备持续监测虚拟机、主机及集群相关软硬件问题的能力。一旦检测到问题，如虚拟机运行缓慢等，系统将根据问题的严重性进行分级，并利用内置的人工智能诊断库自动分析问题。分析结果将以图文形式直观展示在平台上，管理员只需根据提供的建议执行相应操作即可。（提供产品功能截图及第三方检测报告）</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.支持不依赖第三方平台及组件，实现终端精细化监控及管理，支持终端资源监控（CPU利用率、内存使用率、 网络吞吐、磁盘容量及利用率、磁盘IO延迟等，每项目指标可以展开查看，查看指定时间内情况）、主要进程服务监控，支持设置监控间隔，设置资源使用阈值，当超过阈值后平台发向管理员发送告警信息。</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为了满足信创合规要求，桌面云底层使用的虚拟化（超融合）平台需通过可信云超融合架构可信认证，且所投产品生产厂商具备云安全成熟度模型CS-CMMI五级认证资格。（提供有效证明材料）</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1</w:t>
            </w:r>
            <w:r>
              <w:rPr>
                <w:rFonts w:ascii="仿宋_GB2312" w:hAnsi="仿宋_GB2312" w:cs="仿宋_GB2312" w:eastAsia="仿宋_GB2312"/>
                <w:sz w:val="20"/>
                <w:color w:val="000000"/>
              </w:rPr>
              <w:t>.提供3年原厂技术服务。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color w:val="000000"/>
              </w:rPr>
              <w:t>aDesk终端，100台</w:t>
            </w:r>
          </w:p>
          <w:p>
            <w:pPr>
              <w:pStyle w:val="null3"/>
            </w:pPr>
            <w:r>
              <w:rPr>
                <w:rFonts w:ascii="仿宋_GB2312" w:hAnsi="仿宋_GB2312" w:cs="仿宋_GB2312" w:eastAsia="仿宋_GB2312"/>
              </w:rPr>
              <w:t>规格参数：</w:t>
            </w:r>
          </w:p>
          <w:p>
            <w:pPr>
              <w:pStyle w:val="null3"/>
              <w:jc w:val="left"/>
            </w:pPr>
            <w:r>
              <w:rPr>
                <w:rFonts w:ascii="仿宋_GB2312" w:hAnsi="仿宋_GB2312" w:cs="仿宋_GB2312" w:eastAsia="仿宋_GB2312"/>
                <w:sz w:val="20"/>
                <w:color w:val="000000"/>
              </w:rPr>
              <w:t>1.CPU主频≥1.6Ghz，内存≥1G，存储≥4G。</w:t>
            </w:r>
          </w:p>
          <w:p>
            <w:pPr>
              <w:pStyle w:val="null3"/>
              <w:jc w:val="left"/>
            </w:pPr>
            <w:r>
              <w:rPr>
                <w:rFonts w:ascii="仿宋_GB2312" w:hAnsi="仿宋_GB2312" w:cs="仿宋_GB2312" w:eastAsia="仿宋_GB2312"/>
                <w:sz w:val="20"/>
                <w:color w:val="000000"/>
              </w:rPr>
              <w:t>2.电口≥1，USB标准接口≥6个、HDMI显示接口≥1个。</w:t>
            </w:r>
          </w:p>
          <w:p>
            <w:pPr>
              <w:pStyle w:val="null3"/>
              <w:jc w:val="left"/>
            </w:pPr>
            <w:r>
              <w:rPr>
                <w:rFonts w:ascii="仿宋_GB2312" w:hAnsi="仿宋_GB2312" w:cs="仿宋_GB2312" w:eastAsia="仿宋_GB2312"/>
                <w:sz w:val="20"/>
                <w:color w:val="000000"/>
              </w:rPr>
              <w:t>3.为方便管理及统一维护，云桌面软件、云终端同一品牌。</w:t>
            </w:r>
          </w:p>
          <w:p>
            <w:pPr>
              <w:pStyle w:val="null3"/>
            </w:pPr>
            <w:r>
              <w:rPr>
                <w:rFonts w:ascii="仿宋_GB2312" w:hAnsi="仿宋_GB2312" w:cs="仿宋_GB2312" w:eastAsia="仿宋_GB2312"/>
                <w:sz w:val="20"/>
                <w:color w:val="000000"/>
              </w:rPr>
              <w:t>4.提供3年原厂技术服务。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0"/>
                <w:color w:val="000000"/>
              </w:rPr>
              <w:t>国产化桌面云用户许可授权，1套</w:t>
            </w:r>
          </w:p>
          <w:p>
            <w:pPr>
              <w:pStyle w:val="null3"/>
            </w:pPr>
            <w:r>
              <w:rPr>
                <w:rFonts w:ascii="仿宋_GB2312" w:hAnsi="仿宋_GB2312" w:cs="仿宋_GB2312" w:eastAsia="仿宋_GB2312"/>
              </w:rPr>
              <w:t>规格参数：</w:t>
            </w:r>
          </w:p>
          <w:p>
            <w:pPr>
              <w:pStyle w:val="null3"/>
              <w:jc w:val="left"/>
            </w:pPr>
            <w:r>
              <w:rPr>
                <w:rFonts w:ascii="仿宋_GB2312" w:hAnsi="仿宋_GB2312" w:cs="仿宋_GB2312" w:eastAsia="仿宋_GB2312"/>
                <w:sz w:val="20"/>
                <w:color w:val="000000"/>
              </w:rPr>
              <w:t>1.提供100个国产化桌面云并发用户连接授权，支持发布专有桌面、还原桌面、共享桌面、远程应用等多种桌面资源，满足单位不同场景的应用需求。</w:t>
            </w:r>
          </w:p>
          <w:p>
            <w:pPr>
              <w:pStyle w:val="null3"/>
            </w:pPr>
            <w:r>
              <w:rPr>
                <w:rFonts w:ascii="仿宋_GB2312" w:hAnsi="仿宋_GB2312" w:cs="仿宋_GB2312" w:eastAsia="仿宋_GB2312"/>
                <w:sz w:val="20"/>
                <w:color w:val="000000"/>
              </w:rPr>
              <w:t>2.提供3年原厂技术服务。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0"/>
                <w:color w:val="000000"/>
              </w:rPr>
              <w:t>云桌面管理交换机，1台</w:t>
            </w:r>
          </w:p>
          <w:p>
            <w:pPr>
              <w:pStyle w:val="null3"/>
            </w:pPr>
            <w:r>
              <w:rPr>
                <w:rFonts w:ascii="仿宋_GB2312" w:hAnsi="仿宋_GB2312" w:cs="仿宋_GB2312" w:eastAsia="仿宋_GB2312"/>
              </w:rPr>
              <w:t>规格参数：</w:t>
            </w:r>
          </w:p>
          <w:p>
            <w:pPr>
              <w:pStyle w:val="null3"/>
            </w:pPr>
            <w:r>
              <w:rPr>
                <w:rFonts w:ascii="仿宋_GB2312" w:hAnsi="仿宋_GB2312" w:cs="仿宋_GB2312" w:eastAsia="仿宋_GB2312"/>
                <w:sz w:val="20"/>
                <w:color w:val="000000"/>
              </w:rPr>
              <w:t>1.背板带宽</w:t>
            </w:r>
            <w:r>
              <w:rPr>
                <w:rFonts w:ascii="仿宋_GB2312" w:hAnsi="仿宋_GB2312" w:cs="仿宋_GB2312" w:eastAsia="仿宋_GB2312"/>
                <w:sz w:val="20"/>
                <w:color w:val="000000"/>
              </w:rPr>
              <w:t>≥330Gbps，包转发率≥50Mpps，千兆电口≥24，千兆光口≥4个，支持全端口线速转发；</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0"/>
                <w:color w:val="000000"/>
              </w:rPr>
              <w:t>云桌面万兆存储交换机，1台</w:t>
            </w:r>
          </w:p>
          <w:p>
            <w:pPr>
              <w:pStyle w:val="null3"/>
            </w:pPr>
            <w:r>
              <w:rPr>
                <w:rFonts w:ascii="仿宋_GB2312" w:hAnsi="仿宋_GB2312" w:cs="仿宋_GB2312" w:eastAsia="仿宋_GB2312"/>
              </w:rPr>
              <w:t>规格参数：</w:t>
            </w:r>
          </w:p>
          <w:p>
            <w:pPr>
              <w:pStyle w:val="null3"/>
            </w:pPr>
            <w:r>
              <w:rPr>
                <w:rFonts w:ascii="仿宋_GB2312" w:hAnsi="仿宋_GB2312" w:cs="仿宋_GB2312" w:eastAsia="仿宋_GB2312"/>
                <w:sz w:val="20"/>
                <w:color w:val="000000"/>
              </w:rPr>
              <w:t>1.万兆交换机，万兆光口</w:t>
            </w:r>
            <w:r>
              <w:rPr>
                <w:rFonts w:ascii="仿宋_GB2312" w:hAnsi="仿宋_GB2312" w:cs="仿宋_GB2312" w:eastAsia="仿宋_GB2312"/>
                <w:sz w:val="20"/>
                <w:color w:val="000000"/>
              </w:rPr>
              <w:t>≥12个，千兆电口≥12个；交换容量≥2.4Tbps/24Tbps，包转发率≥780Mpps/1080Mpps；支持全端口线速转发；</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0"/>
                <w:color w:val="000000"/>
              </w:rPr>
              <w:t>终端安全管理系统，1套</w:t>
            </w:r>
          </w:p>
          <w:p>
            <w:pPr>
              <w:pStyle w:val="null3"/>
            </w:pPr>
            <w:r>
              <w:rPr>
                <w:rFonts w:ascii="仿宋_GB2312" w:hAnsi="仿宋_GB2312" w:cs="仿宋_GB2312" w:eastAsia="仿宋_GB2312"/>
              </w:rPr>
              <w:t>规格参数：</w:t>
            </w:r>
          </w:p>
          <w:p>
            <w:pPr>
              <w:pStyle w:val="null3"/>
              <w:jc w:val="left"/>
            </w:pPr>
            <w:r>
              <w:rPr>
                <w:rFonts w:ascii="仿宋_GB2312" w:hAnsi="仿宋_GB2312" w:cs="仿宋_GB2312" w:eastAsia="仿宋_GB2312"/>
                <w:sz w:val="20"/>
                <w:color w:val="000000"/>
              </w:rPr>
              <w:t>1.产品可以软件形态部署；支持虚拟化部署；支持高可用；支持多版本、多操作系统（统信、银河麒麟等操作系统），支持控制中心统一管理。PC授权≥100套。</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可定期梳理高可利用漏洞并展示在控制平台，支持对资产进行统一漏洞检测，同时支持设置热点漏洞定时检测。（提供产品功能截图）</w:t>
            </w:r>
          </w:p>
          <w:p>
            <w:pPr>
              <w:pStyle w:val="null3"/>
              <w:jc w:val="left"/>
            </w:pPr>
            <w:r>
              <w:rPr>
                <w:rFonts w:ascii="仿宋_GB2312" w:hAnsi="仿宋_GB2312" w:cs="仿宋_GB2312" w:eastAsia="仿宋_GB2312"/>
                <w:sz w:val="20"/>
                <w:color w:val="000000"/>
              </w:rPr>
              <w:t>3.具备主机蜜罐功能，并支持自行添加需要监控的端口，诱导攻击者对蜜罐服务进行攻击，提前发现识别异常行为，减少对真实业务系统的攻击。</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具备攻击路线呈现，提供可视化的进程树溯源，可直观看出攻击入口、相关操作行为、高危实体文件等信息，以便进行事件攻击溯源和研判分析。（提供产品功能截图）</w:t>
            </w:r>
          </w:p>
          <w:p>
            <w:pPr>
              <w:pStyle w:val="null3"/>
              <w:jc w:val="left"/>
            </w:pPr>
            <w:r>
              <w:rPr>
                <w:rFonts w:ascii="仿宋_GB2312" w:hAnsi="仿宋_GB2312" w:cs="仿宋_GB2312" w:eastAsia="仿宋_GB2312"/>
                <w:sz w:val="20"/>
                <w:color w:val="000000"/>
              </w:rPr>
              <w:t>5.支持弱密码检测，内置弱密码字典及自定义字典，支持对常见弱密码类型进行分类查看。</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具备自主研发的人工智能检测引擎，支持无特征检测技术，可以应对恶意代码及其变种。（提供软件著作权证书）</w:t>
            </w:r>
          </w:p>
          <w:p>
            <w:pPr>
              <w:pStyle w:val="null3"/>
              <w:jc w:val="left"/>
            </w:pPr>
            <w:r>
              <w:rPr>
                <w:rFonts w:ascii="仿宋_GB2312" w:hAnsi="仿宋_GB2312" w:cs="仿宋_GB2312" w:eastAsia="仿宋_GB2312"/>
                <w:sz w:val="20"/>
                <w:color w:val="000000"/>
              </w:rPr>
              <w:t>7.支持对勒索入侵的主流方式RDP暴破做全方位保护，包括RDP登录校验、RDP文件加白二次校验等功能</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具备针对大规模病毒爆发的系统迅速反应功能，支持基于威胁情报的病毒文件在全网终端发起搜索，挖掘潜伏攻击，快速定位出全网终端感染该威胁的情况（提供产品功能截图）</w:t>
            </w:r>
          </w:p>
          <w:p>
            <w:pPr>
              <w:pStyle w:val="null3"/>
              <w:jc w:val="left"/>
            </w:pPr>
            <w:r>
              <w:rPr>
                <w:rFonts w:ascii="仿宋_GB2312" w:hAnsi="仿宋_GB2312" w:cs="仿宋_GB2312" w:eastAsia="仿宋_GB2312"/>
                <w:sz w:val="20"/>
                <w:color w:val="000000"/>
              </w:rPr>
              <w:t>9.系统应具备对终端账户信息自定义安全检查项，能够检查账号权限分布概况以及风险账号分布情况，可按照隐藏账号、弱密码账号、可疑root权限账号、长期未使用账号、夜间登录、多IP登录进行账号分类查看，支持统计最近一年未修改密码的账户。</w:t>
            </w:r>
          </w:p>
          <w:p>
            <w:pPr>
              <w:pStyle w:val="null3"/>
            </w:pPr>
            <w:r>
              <w:rPr>
                <w:rFonts w:ascii="仿宋_GB2312" w:hAnsi="仿宋_GB2312" w:cs="仿宋_GB2312" w:eastAsia="仿宋_GB2312"/>
                <w:sz w:val="20"/>
                <w:color w:val="000000"/>
              </w:rPr>
              <w:t>10.提供3年原厂技术服务。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大荔县人民法院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供货安装完成并通过验收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投标人为具有独立承担民事责任的能力的企业法人、其他组织或者自然人。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社会保障资金缴纳证明：提供投标文件递交截止时间前12个月内任意一个月的社保缴费凭据或社保机构开具的社会保险参保缴费情况证明；依法不需要缴纳社会保障资金的供应商应提供相关文件证明；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税收缴纳证明：提供投标文件递交截止 时间前12个月内任意一个月的缴费凭据；依法免税的应提供相关文件证明；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为企业法定代表人出具，信息真实合法有效，附有法定代表人和被委托人身份证复印件且人证相符（若法定代表人直接参加投标会则须提供法定代表人身份证明及法定代表人身份证复印件）；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按采购文件要求进行签章</w:t>
            </w:r>
          </w:p>
        </w:tc>
        <w:tc>
          <w:tcPr>
            <w:tcW w:type="dxa" w:w="1661"/>
          </w:tcPr>
          <w:p>
            <w:pPr>
              <w:pStyle w:val="null3"/>
            </w:pPr>
            <w:r>
              <w:rPr>
                <w:rFonts w:ascii="仿宋_GB2312" w:hAnsi="仿宋_GB2312" w:cs="仿宋_GB2312" w:eastAsia="仿宋_GB2312"/>
              </w:rPr>
              <w:t>投标方案.docx 业绩一览表.docx 分项报价表.docx 投标函 技术要求响应表.docx 中小企业声明函 残疾人福利性单位声明函 商务应答表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分项报价表.docx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投标方案.docx 技术要求响应表.docx 商务应答表 投标文件封面 供应商资格证明文件.docx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 置</w:t>
            </w:r>
          </w:p>
        </w:tc>
        <w:tc>
          <w:tcPr>
            <w:tcW w:type="dxa" w:w="2492"/>
          </w:tcPr>
          <w:p>
            <w:pPr>
              <w:pStyle w:val="null3"/>
            </w:pPr>
            <w:r>
              <w:rPr>
                <w:rFonts w:ascii="仿宋_GB2312" w:hAnsi="仿宋_GB2312" w:cs="仿宋_GB2312" w:eastAsia="仿宋_GB2312"/>
              </w:rPr>
              <w:t>招标产品技术参数响应应提供厂家出具的相关证明材料，不限于产品彩页、检测报告、功能截图等，完全满足得20分，标▲参数为重要参数，须提供第三方检测报告或功能截图予以佐证，不满足或未提供，每有一条扣1分，其他参数不满足每有一条扣0.2分，扣完为止。无有效证明材料或响应数据与证明材料不符的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技术要求响应表.docx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供应商需提供包含不限于：质量管理措施、质量控制方案、质量管理体系、产品质量保证措施、安装、调试质量保证措施，以上能有效地保障项目实施过程的衔接、保证项目整体质量，根据响应程度计0-5分。 （2）投标相关产品安全可靠，符合使用需求，整体配置具有合理性、一致性、兼容性，产品明确品牌、型号、产地等，来源渠道正规，无产权纠纷，提供所投产品来源渠道合法的证明文件（包括但不限于销售协议/代理协议/原厂授权等）。根据响应情况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 包含但不限于①项目背景和采购需求理解、②备货、供货措施方案③工作流程、工作内容、④组织管理方案、⑤设备安装 评审标准： 1.完整性：实施方案须全面，思路清晰、分析透彻，内容完整、方案科学、合理； 2.可实施性；切合本项目实际情况，步骤明确、可操作性强； 3.针对性：总体方案能够紧扣项目实际情况，专业性强、内容科学、合理。 赋分标准（15分）：根据评审标准，按照提供内容的完整性、可实施性、针对性响应情况每项得（0-3）分，不提供或完全背离评审标准得0分。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评审内容： 包含：①突发事件具体可行的应急处置方案；②应急响应时间；③应急组织方案。 评审标准： 1.完整性：方案须全面，完整、科学、合理； 2.可实施性；切合本项目实际情况，步骤明确、可操作性强； 3.针对性：能够紧扣项目实际情况，专业性强、内容科学、合理。 赋分标准（6分）：根据评审标准，按照提供内容的完整性、可实施性、针对性响应情况每项得（0-2）分，不提供或完全背离评审标准得0分。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有完善的项目实施团队及管理方案，项目设有项目负责人及技术团队，专业结构合理，分工明确、人员稳定：完整、合理、可行。计0-6分；（提供相关人员证书）</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培训服务能力</w:t>
            </w:r>
          </w:p>
        </w:tc>
        <w:tc>
          <w:tcPr>
            <w:tcW w:type="dxa" w:w="2492"/>
          </w:tcPr>
          <w:p>
            <w:pPr>
              <w:pStyle w:val="null3"/>
            </w:pPr>
            <w:r>
              <w:rPr>
                <w:rFonts w:ascii="仿宋_GB2312" w:hAnsi="仿宋_GB2312" w:cs="仿宋_GB2312" w:eastAsia="仿宋_GB2312"/>
              </w:rPr>
              <w:t>提供详尽的培训方案及培训计划，确保使用人员能够独立操作，并进行简单故障排查处理，根据方案的响应程度计0-3分。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售后服务方案包括但不限于售后服务网点的设定、拟投入售后服务人员配置情况、响应时间、发生质量问题的补救措施等；视其响应程度计0-5分。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1日起至今类似项目业绩，每提供一项得1分，最高得5分。（提供合同复印件或中标（成交）通知书复印件加盖公章。如提供中标（成交）通知书，以中标（成交）通知书发放时间为准；如提供合同，以合同签订日期为准。同一客户单位业绩不重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价格分采用低价优先法计算，即满足招标文件要求且投标报价最低的投标报价为基准价，其价格分为满分。其他供应商的价格分统一按照下列公式计算：报价得分=（基准价/有效报价）×权重（30%）×100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详见附件：技术要求响应表.docx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