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版本号：DLZCCS2025-19.1B120251103001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安保服务采购项目(二次)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DLZCCS2025-19.1B1</w:t>
      </w:r>
      <w:r>
        <w:br/>
      </w:r>
      <w:r>
        <w:br/>
      </w:r>
      <w:r>
        <w:br/>
      </w:r>
    </w:p>
    <w:p>
      <w:pPr>
        <w:pStyle w:val="null3"/>
        <w:jc w:val="center"/>
        <w:outlineLvl w:val="2"/>
      </w:pPr>
      <w:r>
        <w:rPr>
          <w:rFonts w:ascii="仿宋_GB2312" w:hAnsi="仿宋_GB2312" w:cs="仿宋_GB2312" w:eastAsia="仿宋_GB2312"/>
          <w:sz w:val="28"/>
          <w:b/>
        </w:rPr>
        <w:t>大荔县妇幼保健计划生育服务中心</w:t>
      </w:r>
    </w:p>
    <w:p>
      <w:pPr>
        <w:pStyle w:val="null3"/>
        <w:jc w:val="center"/>
        <w:outlineLvl w:val="2"/>
      </w:pPr>
      <w:r>
        <w:rPr>
          <w:rFonts w:ascii="仿宋_GB2312" w:hAnsi="仿宋_GB2312" w:cs="仿宋_GB2312" w:eastAsia="仿宋_GB2312"/>
          <w:sz w:val="28"/>
          <w:b/>
        </w:rPr>
        <w:t>大荔县政府采购中心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大荔县政府采购中心</w:t>
      </w:r>
      <w:r>
        <w:rPr>
          <w:rFonts w:ascii="仿宋_GB2312" w:hAnsi="仿宋_GB2312" w:cs="仿宋_GB2312" w:eastAsia="仿宋_GB2312"/>
        </w:rPr>
        <w:t>（以下简称“代理机构”）受</w:t>
      </w:r>
      <w:r>
        <w:rPr>
          <w:rFonts w:ascii="仿宋_GB2312" w:hAnsi="仿宋_GB2312" w:cs="仿宋_GB2312" w:eastAsia="仿宋_GB2312"/>
        </w:rPr>
        <w:t>大荔县妇幼保健计划生育服务中心</w:t>
      </w:r>
      <w:r>
        <w:rPr>
          <w:rFonts w:ascii="仿宋_GB2312" w:hAnsi="仿宋_GB2312" w:cs="仿宋_GB2312" w:eastAsia="仿宋_GB2312"/>
        </w:rPr>
        <w:t>委托，拟对</w:t>
      </w:r>
      <w:r>
        <w:rPr>
          <w:rFonts w:ascii="仿宋_GB2312" w:hAnsi="仿宋_GB2312" w:cs="仿宋_GB2312" w:eastAsia="仿宋_GB2312"/>
        </w:rPr>
        <w:t>安保服务采购项目(二次)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DLZCCS2025-19.1B1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安保服务采购项目(二次)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深入开展平安医院建设、安保反恐、秩序维护、纠纷处置、安全生产、消防安全、车辆交通管理等工作，保障医院各项工作安全稳定运行，切实有效维护好医疗工作秩序，确保广大职工和患者群众人身财产安全及医院整体安全稳定，有效应对各类突发性事件，现需采购大荔县妇幼保健计划生育服务中心安保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采购包1（大荔县妇幼保健计划生育服务中心安保服务采购项目）：属于专门面向中小企业采购。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1、主体资格：在中华人民共和国境内注册、具有独立民事责任能力的法人、其他组织或自然人，具备从事本采购项目的经营范围和能力，提供合法有效的企业营业执照、法人证书或登记证书。</w:t>
      </w:r>
    </w:p>
    <w:p>
      <w:pPr>
        <w:pStyle w:val="null3"/>
      </w:pPr>
      <w:r>
        <w:rPr>
          <w:rFonts w:ascii="仿宋_GB2312" w:hAnsi="仿宋_GB2312" w:cs="仿宋_GB2312" w:eastAsia="仿宋_GB2312"/>
        </w:rPr>
        <w:t>2、授权委托：提供法定代表人授权书（附法定代表人有效身份证复印件和被授权人有效身份证复印件，法定代表人直接参加只须提供法定代表人有效身份证复印件）。</w:t>
      </w:r>
    </w:p>
    <w:p>
      <w:pPr>
        <w:pStyle w:val="null3"/>
      </w:pPr>
      <w:r>
        <w:rPr>
          <w:rFonts w:ascii="仿宋_GB2312" w:hAnsi="仿宋_GB2312" w:cs="仿宋_GB2312" w:eastAsia="仿宋_GB2312"/>
        </w:rPr>
        <w:t>3、政策落实要求：本项目为专门面向中小企业项目，供应商应为中型企业或小型、微型企业或监狱企业或残疾人福利性单位。供应商为中小企业的，提供《中小企业声明函》，且中小企业的划分标准为采购文件中明确的所属行业；供应商为监狱企业的，应提供监狱企业的证明文件；供应商为残疾人福利性单位的，应提供《残疾人福利性单位声明函》。</w:t>
      </w:r>
    </w:p>
    <w:p>
      <w:pPr>
        <w:pStyle w:val="null3"/>
      </w:pPr>
      <w:r>
        <w:rPr>
          <w:rFonts w:ascii="仿宋_GB2312" w:hAnsi="仿宋_GB2312" w:cs="仿宋_GB2312" w:eastAsia="仿宋_GB2312"/>
        </w:rPr>
        <w:t>4、控股管理关系：单位负责人为同一人或者存在直接控股、管理关系的不同供应商，不得参加同一合同项下的政府采购活动。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5、信用记录及声明：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无违法失信查询结果并加盖公章）同时提供参加政府采购活动前三年内在经营活动中没有重大违法记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大荔县妇幼保健计划生育服务中心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大荔县北大街29号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大荔县妇幼保健计划生育服务中心经办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09133223692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大荔县政府采购中心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大荔县洛滨大道西段财政局709室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09133256360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大荔县财政局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09133256202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采购包1：322,596.00元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大荔县妇幼保健计划生育服务中心</w:t>
      </w:r>
      <w:r>
        <w:rPr>
          <w:rFonts w:ascii="仿宋_GB2312" w:hAnsi="仿宋_GB2312" w:cs="仿宋_GB2312" w:eastAsia="仿宋_GB2312"/>
        </w:rPr>
        <w:t>和</w:t>
      </w:r>
      <w:r>
        <w:rPr>
          <w:rFonts w:ascii="仿宋_GB2312" w:hAnsi="仿宋_GB2312" w:cs="仿宋_GB2312" w:eastAsia="仿宋_GB2312"/>
        </w:rPr>
        <w:t>大荔县政府采购中心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大荔县妇幼保健计划生育服务中心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大荔县政府采购中心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大荔县妇幼保健计划生育服务中心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大荔县政府采购中心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基础履约：人员数量、持证率100%，更换提前3日报备；设备物资齐全可用，故障响应≤2小时、月故障率≤1次；服务期限无擅自变更，阶段性服务准时无迟到早退。 服务质量：车辆登记100%，巡逻按路线频次执行（巡逻≥4次/天），应急响应≤5分钟且24小时提交报告，月度客户满意度≥85分、投诉解决率100% 。 商务条款：费用计算合规无额外收费，发票按时合规开具；违约按合同认定处理，乙方不达标7日内整改，整改后仍不达标甲方可终止合同 。 结论判定：全部指标达标为合格；1-2项非关键指标不达标，7日整改复验通过为整改后合格；关键指标不达标或整改未通过为不合格 。</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大荔县政府采购中心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大荔县政府采购中心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大荔县政府采购中心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联系人：张先生</w:t>
      </w:r>
    </w:p>
    <w:p>
      <w:pPr>
        <w:pStyle w:val="null3"/>
      </w:pPr>
      <w:r>
        <w:rPr>
          <w:rFonts w:ascii="仿宋_GB2312" w:hAnsi="仿宋_GB2312" w:cs="仿宋_GB2312" w:eastAsia="仿宋_GB2312"/>
        </w:rPr>
        <w:t>联系电话：09133256360</w:t>
      </w:r>
    </w:p>
    <w:p>
      <w:pPr>
        <w:pStyle w:val="null3"/>
      </w:pPr>
      <w:r>
        <w:rPr>
          <w:rFonts w:ascii="仿宋_GB2312" w:hAnsi="仿宋_GB2312" w:cs="仿宋_GB2312" w:eastAsia="仿宋_GB2312"/>
        </w:rPr>
        <w:t>地址：大荔县西城街道洛滨大道西段（财政局709室）</w:t>
      </w:r>
    </w:p>
    <w:p>
      <w:pPr>
        <w:pStyle w:val="null3"/>
      </w:pPr>
      <w:r>
        <w:rPr>
          <w:rFonts w:ascii="仿宋_GB2312" w:hAnsi="仿宋_GB2312" w:cs="仿宋_GB2312" w:eastAsia="仿宋_GB2312"/>
        </w:rPr>
        <w:t>邮编：715100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深入开展平安医院建设、安保反恐、秩序维护、纠纷处置、安全生产、消防安全、车辆交通管理等工作，保障医院各项工作安全稳定运行，切实有效维护好医疗工作秩序，确保广大职工和患者群众人身财产安全及医院整体安全稳定，有效应对各类突发性事件，现需采购大荔县妇幼保健院计划生育服务中心安保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322,596.00</w:t>
      </w:r>
    </w:p>
    <w:p>
      <w:pPr>
        <w:pStyle w:val="null3"/>
      </w:pPr>
      <w:r>
        <w:rPr>
          <w:rFonts w:ascii="仿宋_GB2312" w:hAnsi="仿宋_GB2312" w:cs="仿宋_GB2312" w:eastAsia="仿宋_GB2312"/>
        </w:rPr>
        <w:t>采购包最高限价（元）: 322,596.00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大荔县妇幼保健计划生育服务中心安保服务项目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322,596.00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标的名称：大荔县妇幼保健计划生育服务中心安保服务项目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225" w:after="225"/>
              <w:jc w:val="center"/>
            </w:pPr>
            <w:r>
              <w:rPr>
                <w:rFonts w:ascii="仿宋_GB2312" w:hAnsi="仿宋_GB2312" w:cs="仿宋_GB2312" w:eastAsia="仿宋_GB2312"/>
                <w:b/>
                <w:color w:val="000000"/>
              </w:rPr>
              <w:t>一、项目概况</w:t>
            </w:r>
          </w:p>
          <w:p>
            <w:pPr>
              <w:pStyle w:val="null3"/>
              <w:ind w:firstLine="480"/>
            </w:pPr>
            <w:r>
              <w:rPr>
                <w:rFonts w:ascii="仿宋_GB2312" w:hAnsi="仿宋_GB2312" w:cs="仿宋_GB2312" w:eastAsia="仿宋_GB2312"/>
                <w:color w:val="000000"/>
              </w:rPr>
              <w:t>为深入开展平安医院建设、安保反恐、秩序维护、纠纷处置、安全生产、消防安全、车辆交通管理等工作，保障医院各项工作安全稳定运行，切实有效维护好医疗工作秩序，确保广大职工和患者群众人身财产安全及医院整体安全稳定，有效应对各类突发性事件，现需采购</w:t>
            </w:r>
            <w:r>
              <w:rPr>
                <w:rFonts w:ascii="仿宋_GB2312" w:hAnsi="仿宋_GB2312" w:cs="仿宋_GB2312" w:eastAsia="仿宋_GB2312"/>
                <w:color w:val="000000"/>
              </w:rPr>
              <w:t>大荔县妇幼保健计划生育服务中心</w:t>
            </w:r>
            <w:r>
              <w:rPr>
                <w:rFonts w:ascii="仿宋_GB2312" w:hAnsi="仿宋_GB2312" w:cs="仿宋_GB2312" w:eastAsia="仿宋_GB2312"/>
                <w:color w:val="000000"/>
              </w:rPr>
              <w:t>安保服务。</w:t>
            </w:r>
          </w:p>
          <w:p>
            <w:pPr>
              <w:pStyle w:val="null3"/>
              <w:spacing w:before="120" w:after="60"/>
              <w:jc w:val="both"/>
            </w:pPr>
            <w:r>
              <w:rPr>
                <w:rFonts w:ascii="仿宋_GB2312" w:hAnsi="仿宋_GB2312" w:cs="仿宋_GB2312" w:eastAsia="仿宋_GB2312"/>
                <w:b/>
              </w:rPr>
              <w:t>二、招标内容</w:t>
            </w:r>
          </w:p>
          <w:tbl>
            <w:tblPr>
              <w:tblBorders>
                <w:top w:val="none" w:color="000000" w:sz="4"/>
                <w:left w:val="none" w:color="000000" w:sz="4"/>
                <w:bottom w:val="none" w:color="000000" w:sz="4"/>
                <w:right w:val="none" w:color="000000" w:sz="4"/>
                <w:insideH w:val="none"/>
                <w:insideV w:val="none"/>
              </w:tblBorders>
            </w:tblPr>
            <w:tblGrid>
              <w:gridCol w:w="707"/>
              <w:gridCol w:w="1568"/>
              <w:gridCol w:w="273"/>
            </w:tblGrid>
            <w:tr>
              <w:tc>
                <w:tcPr>
                  <w:tcW w:type="dxa" w:w="707"/>
                  <w:tcBorders>
                    <w:top w:val="single" w:color="000000" w:sz="8"/>
                    <w:left w:val="single" w:color="000000" w:sz="8"/>
                    <w:bottom w:val="single" w:color="000000" w:sz="4"/>
                    <w:right w:val="single" w:color="000000" w:sz="4"/>
                  </w:tcBorders>
                  <w:shd w:fill="F1F1F1"/>
                  <w:tcMar>
                    <w:top w:type="dxa" w:w="0"/>
                    <w:left w:type="dxa" w:w="105"/>
                    <w:bottom w:type="dxa" w:w="0"/>
                    <w:right w:type="dxa" w:w="105"/>
                  </w:tcMar>
                  <w:vAlign w:val="top"/>
                </w:tcPr>
                <w:p>
                  <w:pPr>
                    <w:pStyle w:val="null3"/>
                  </w:pPr>
                  <w:r>
                    <w:rPr>
                      <w:rFonts w:ascii="仿宋_GB2312" w:hAnsi="仿宋_GB2312" w:cs="仿宋_GB2312" w:eastAsia="仿宋_GB2312"/>
                      <w:sz w:val="19"/>
                      <w:b/>
                      <w:color w:val="000000"/>
                    </w:rPr>
                    <w:t>服务内容</w:t>
                  </w:r>
                </w:p>
              </w:tc>
              <w:tc>
                <w:tcPr>
                  <w:tcW w:type="dxa" w:w="1568"/>
                  <w:tcBorders>
                    <w:top w:val="single" w:color="000000" w:sz="8"/>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pPr>
                  <w:r>
                    <w:rPr>
                      <w:rFonts w:ascii="仿宋_GB2312" w:hAnsi="仿宋_GB2312" w:cs="仿宋_GB2312" w:eastAsia="仿宋_GB2312"/>
                      <w:sz w:val="19"/>
                      <w:b/>
                      <w:color w:val="000000"/>
                    </w:rPr>
                    <w:t>服务期</w:t>
                  </w:r>
                </w:p>
              </w:tc>
              <w:tc>
                <w:tcPr>
                  <w:tcW w:type="dxa" w:w="273"/>
                  <w:tcBorders>
                    <w:top w:val="single" w:color="000000" w:sz="8"/>
                    <w:left w:val="single" w:color="000000" w:sz="4"/>
                    <w:bottom w:val="single" w:color="000000" w:sz="4"/>
                    <w:right w:val="single" w:color="000000" w:sz="8"/>
                  </w:tcBorders>
                  <w:shd w:fill="F1F1F1"/>
                  <w:tcMar>
                    <w:top w:type="dxa" w:w="0"/>
                    <w:left w:type="dxa" w:w="105"/>
                    <w:bottom w:type="dxa" w:w="0"/>
                    <w:right w:type="dxa" w:w="105"/>
                  </w:tcMar>
                  <w:vAlign w:val="top"/>
                </w:tcPr>
                <w:p>
                  <w:pPr>
                    <w:pStyle w:val="null3"/>
                  </w:pPr>
                  <w:r>
                    <w:rPr>
                      <w:rFonts w:ascii="仿宋_GB2312" w:hAnsi="仿宋_GB2312" w:cs="仿宋_GB2312" w:eastAsia="仿宋_GB2312"/>
                      <w:sz w:val="19"/>
                      <w:b/>
                      <w:color w:val="000000"/>
                    </w:rPr>
                    <w:t>备注</w:t>
                  </w:r>
                </w:p>
              </w:tc>
            </w:tr>
            <w:tr>
              <w:tc>
                <w:tcPr>
                  <w:tcW w:type="dxa" w:w="707"/>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安保服务</w:t>
                  </w:r>
                </w:p>
              </w:tc>
              <w:tc>
                <w:tcPr>
                  <w:tcW w:type="dxa" w:w="1568"/>
                  <w:tcBorders>
                    <w:top w:val="non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ind w:right="-180"/>
                  </w:pPr>
                  <w:r>
                    <w:rPr>
                      <w:rFonts w:ascii="仿宋_GB2312" w:hAnsi="仿宋_GB2312" w:cs="仿宋_GB2312" w:eastAsia="仿宋_GB2312"/>
                      <w:sz w:val="19"/>
                      <w:color w:val="000000"/>
                    </w:rPr>
                    <w:t>自</w:t>
                  </w:r>
                  <w:r>
                    <w:rPr>
                      <w:rFonts w:ascii="仿宋_GB2312" w:hAnsi="仿宋_GB2312" w:cs="仿宋_GB2312" w:eastAsia="仿宋_GB2312"/>
                      <w:sz w:val="19"/>
                      <w:color w:val="000000"/>
                    </w:rPr>
                    <w:t>合同签订之日起一年</w:t>
                  </w:r>
                  <w:r>
                    <w:rPr>
                      <w:rFonts w:ascii="仿宋_GB2312" w:hAnsi="仿宋_GB2312" w:cs="仿宋_GB2312" w:eastAsia="仿宋_GB2312"/>
                      <w:sz w:val="19"/>
                      <w:color w:val="000000"/>
                    </w:rPr>
                    <w:t>。</w:t>
                  </w:r>
                </w:p>
              </w:tc>
              <w:tc>
                <w:tcPr>
                  <w:tcW w:type="dxa" w:w="273"/>
                  <w:tcBorders>
                    <w:top w:val="non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pPr>
                </w:p>
              </w:tc>
            </w:tr>
          </w:tbl>
          <w:p>
            <w:pPr>
              <w:pStyle w:val="null3"/>
              <w:jc w:val="both"/>
              <w:outlineLvl w:val="1"/>
            </w:pPr>
            <w:r>
              <w:rPr>
                <w:rFonts w:ascii="仿宋_GB2312" w:hAnsi="仿宋_GB2312" w:cs="仿宋_GB2312" w:eastAsia="仿宋_GB2312"/>
                <w:sz w:val="36"/>
                <w:b/>
                <w:color w:val="000000"/>
              </w:rPr>
              <w:t>三、服务要求</w:t>
            </w:r>
          </w:p>
          <w:p>
            <w:pPr>
              <w:pStyle w:val="null3"/>
              <w:ind w:firstLine="482"/>
            </w:pPr>
            <w:r>
              <w:rPr>
                <w:rFonts w:ascii="仿宋_GB2312" w:hAnsi="仿宋_GB2312" w:cs="仿宋_GB2312" w:eastAsia="仿宋_GB2312"/>
                <w:b/>
                <w:color w:val="000000"/>
              </w:rPr>
              <w:t>（一）工作范围及职责</w:t>
            </w:r>
          </w:p>
          <w:p>
            <w:pPr>
              <w:pStyle w:val="null3"/>
              <w:ind w:firstLine="480"/>
            </w:pPr>
            <w:r>
              <w:rPr>
                <w:rFonts w:ascii="仿宋_GB2312" w:hAnsi="仿宋_GB2312" w:cs="仿宋_GB2312" w:eastAsia="仿宋_GB2312"/>
                <w:color w:val="000000"/>
              </w:rPr>
              <w:t>1</w:t>
            </w:r>
            <w:r>
              <w:rPr>
                <w:rFonts w:ascii="仿宋_GB2312" w:hAnsi="仿宋_GB2312" w:cs="仿宋_GB2312" w:eastAsia="仿宋_GB2312"/>
                <w:color w:val="000000"/>
              </w:rPr>
              <w:t>.</w:t>
            </w:r>
            <w:r>
              <w:rPr>
                <w:rFonts w:ascii="仿宋_GB2312" w:hAnsi="仿宋_GB2312" w:cs="仿宋_GB2312" w:eastAsia="仿宋_GB2312"/>
                <w:color w:val="333333"/>
              </w:rPr>
              <w:t>开展平安医院建设、安保反恐、秩序维护、纠纷处置、安全生产、消防安全、车辆交通管理等工作，做好日常安全维稳工作，切实有效应对各类突发性事件，保护广大职工和患者群众人身财产安全及医院整体安全稳定。</w:t>
            </w:r>
          </w:p>
          <w:p>
            <w:pPr>
              <w:pStyle w:val="null3"/>
              <w:ind w:firstLine="480"/>
            </w:pPr>
            <w:r>
              <w:rPr>
                <w:rFonts w:ascii="仿宋_GB2312" w:hAnsi="仿宋_GB2312" w:cs="仿宋_GB2312" w:eastAsia="仿宋_GB2312"/>
                <w:color w:val="333333"/>
              </w:rPr>
              <w:t>2</w:t>
            </w:r>
            <w:r>
              <w:rPr>
                <w:rFonts w:ascii="仿宋_GB2312" w:hAnsi="仿宋_GB2312" w:cs="仿宋_GB2312" w:eastAsia="仿宋_GB2312"/>
                <w:color w:val="333333"/>
              </w:rPr>
              <w:t>、</w:t>
            </w:r>
            <w:r>
              <w:rPr>
                <w:rFonts w:ascii="仿宋_GB2312" w:hAnsi="仿宋_GB2312" w:cs="仿宋_GB2312" w:eastAsia="仿宋_GB2312"/>
                <w:color w:val="333333"/>
              </w:rPr>
              <w:t>该项目为业务外包，中标供应商应完善各项工作规章制度（包括管理制度、门卫值班制度、车辆管理制度、值班巡逻制度、交接班制度、奖惩制度等，并将相关制度向采购人进行报备。）、应急预案的制定和执行，负责各类安全隐患排查整改工作，负责全院职工安全教育培训、演练工作，负责各类安全检查迎检准备工作，以及涉及主管科室业务范围内的所有工作任务。</w:t>
            </w:r>
          </w:p>
          <w:p>
            <w:pPr>
              <w:pStyle w:val="null3"/>
              <w:ind w:firstLine="480"/>
            </w:pPr>
            <w:r>
              <w:rPr>
                <w:rFonts w:ascii="仿宋_GB2312" w:hAnsi="仿宋_GB2312" w:cs="仿宋_GB2312" w:eastAsia="仿宋_GB2312"/>
                <w:color w:val="333333"/>
              </w:rPr>
              <w:t>3</w:t>
            </w:r>
            <w:r>
              <w:rPr>
                <w:rFonts w:ascii="仿宋_GB2312" w:hAnsi="仿宋_GB2312" w:cs="仿宋_GB2312" w:eastAsia="仿宋_GB2312"/>
                <w:color w:val="333333"/>
              </w:rPr>
              <w:t>、</w:t>
            </w:r>
            <w:r>
              <w:rPr>
                <w:rFonts w:ascii="仿宋_GB2312" w:hAnsi="仿宋_GB2312" w:cs="仿宋_GB2312" w:eastAsia="仿宋_GB2312"/>
                <w:color w:val="333333"/>
              </w:rPr>
              <w:t>供应商应建立完善的工作台账，包括会议记录、巡查记录、演练记录、建立工作台账，做好周总结，月总结，交班记录、报警记录等。</w:t>
            </w:r>
          </w:p>
          <w:p>
            <w:pPr>
              <w:pStyle w:val="null3"/>
              <w:ind w:firstLine="480"/>
            </w:pPr>
            <w:r>
              <w:rPr>
                <w:rFonts w:ascii="仿宋_GB2312" w:hAnsi="仿宋_GB2312" w:cs="仿宋_GB2312" w:eastAsia="仿宋_GB2312"/>
                <w:color w:val="333333"/>
              </w:rPr>
              <w:t>4</w:t>
            </w:r>
            <w:r>
              <w:rPr>
                <w:rFonts w:ascii="仿宋_GB2312" w:hAnsi="仿宋_GB2312" w:cs="仿宋_GB2312" w:eastAsia="仿宋_GB2312"/>
                <w:color w:val="333333"/>
              </w:rPr>
              <w:t>、</w:t>
            </w:r>
            <w:r>
              <w:rPr>
                <w:rFonts w:ascii="仿宋_GB2312" w:hAnsi="仿宋_GB2312" w:cs="仿宋_GB2312" w:eastAsia="仿宋_GB2312"/>
                <w:color w:val="333333"/>
              </w:rPr>
              <w:t>每季度一次安全防恐、防爆培训，及防恐、防爆类实战演习、演练。同时每季度一次突发事件安全应急处理演练。</w:t>
            </w:r>
          </w:p>
          <w:p>
            <w:pPr>
              <w:pStyle w:val="null3"/>
              <w:ind w:firstLine="480"/>
            </w:pPr>
            <w:r>
              <w:rPr>
                <w:rFonts w:ascii="仿宋_GB2312" w:hAnsi="仿宋_GB2312" w:cs="仿宋_GB2312" w:eastAsia="仿宋_GB2312"/>
                <w:color w:val="333333"/>
              </w:rPr>
              <w:t>5、</w:t>
            </w:r>
            <w:r>
              <w:rPr>
                <w:rFonts w:ascii="仿宋_GB2312" w:hAnsi="仿宋_GB2312" w:cs="仿宋_GB2312" w:eastAsia="仿宋_GB2312"/>
                <w:color w:val="333333"/>
              </w:rPr>
              <w:t>因服务不到位原因导致的上级部门和主管部门对医院造成的处罚，要承担相应责任。</w:t>
            </w:r>
          </w:p>
          <w:p>
            <w:pPr>
              <w:pStyle w:val="null3"/>
              <w:ind w:firstLine="480"/>
            </w:pPr>
            <w:r>
              <w:rPr>
                <w:rFonts w:ascii="仿宋_GB2312" w:hAnsi="仿宋_GB2312" w:cs="仿宋_GB2312" w:eastAsia="仿宋_GB2312"/>
                <w:b/>
                <w:color w:val="000000"/>
              </w:rPr>
              <w:t>（二）分项服务要求</w:t>
            </w:r>
          </w:p>
          <w:p>
            <w:pPr>
              <w:pStyle w:val="null3"/>
              <w:ind w:firstLine="482"/>
            </w:pPr>
            <w:r>
              <w:rPr>
                <w:rFonts w:ascii="仿宋_GB2312" w:hAnsi="仿宋_GB2312" w:cs="仿宋_GB2312" w:eastAsia="仿宋_GB2312"/>
                <w:b/>
                <w:color w:val="333333"/>
              </w:rPr>
              <w:t>1</w:t>
            </w:r>
            <w:r>
              <w:rPr>
                <w:rFonts w:ascii="仿宋_GB2312" w:hAnsi="仿宋_GB2312" w:cs="仿宋_GB2312" w:eastAsia="仿宋_GB2312"/>
                <w:b/>
                <w:color w:val="333333"/>
              </w:rPr>
              <w:t>、</w:t>
            </w:r>
            <w:r>
              <w:rPr>
                <w:rFonts w:ascii="仿宋_GB2312" w:hAnsi="仿宋_GB2312" w:cs="仿宋_GB2312" w:eastAsia="仿宋_GB2312"/>
                <w:b/>
                <w:color w:val="333333"/>
              </w:rPr>
              <w:t>安全防范工作</w:t>
            </w:r>
          </w:p>
          <w:p>
            <w:pPr>
              <w:pStyle w:val="null3"/>
              <w:ind w:firstLine="480"/>
            </w:pPr>
            <w:r>
              <w:rPr>
                <w:rFonts w:ascii="仿宋_GB2312" w:hAnsi="仿宋_GB2312" w:cs="仿宋_GB2312" w:eastAsia="仿宋_GB2312"/>
                <w:color w:val="333333"/>
              </w:rPr>
              <w:t>（1）采购人与供应商共同确定执勤岗位，由供应商制定岗位职责并具体实施。供应商全天候24小时对采购人南北院区门卫执勤及各区域进行安保执勤巡查，发现可疑人员或治安事件及时进行处置。安保巡逻要求每天不少于4次，白天不少于两次，夜间不少两次，对院区各个建筑楼顶，每月巡检1次。同时特殊情况不定期巡逻，尤其是夜间应加强巡逻，巡逻区域覆盖整个医院，对重点部门、区域巡逻要细致、警惕，若发现有安全隐患，应及时处理或上报。并准确、详细填写巡逻记录。节假日应在值班领导的安排下，做好安全工作。</w:t>
            </w:r>
          </w:p>
          <w:p>
            <w:pPr>
              <w:pStyle w:val="null3"/>
            </w:pPr>
            <w:r>
              <w:rPr>
                <w:rFonts w:ascii="仿宋_GB2312" w:hAnsi="仿宋_GB2312" w:cs="仿宋_GB2312" w:eastAsia="仿宋_GB2312"/>
                <w:color w:val="333333"/>
              </w:rPr>
              <w:t xml:space="preserve">  （2）维护医院正常工作秩序，保障广大职工和患者群众人身财产安全及医院整体安全，预防各类安全生产事故及刑事治安案件的发生。</w:t>
            </w:r>
          </w:p>
          <w:p>
            <w:pPr>
              <w:pStyle w:val="null3"/>
            </w:pPr>
            <w:r>
              <w:rPr>
                <w:rFonts w:ascii="仿宋_GB2312" w:hAnsi="仿宋_GB2312" w:cs="仿宋_GB2312" w:eastAsia="仿宋_GB2312"/>
                <w:color w:val="333333"/>
              </w:rPr>
              <w:t xml:space="preserve">  （3）中标供应商对所聘用人员进行岗前培训和各类技能培训，使所聘用人员具备相应的业务素质，同时定期进行培训和演练。</w:t>
            </w:r>
          </w:p>
          <w:p>
            <w:pPr>
              <w:pStyle w:val="null3"/>
            </w:pPr>
            <w:r>
              <w:rPr>
                <w:rFonts w:ascii="仿宋_GB2312" w:hAnsi="仿宋_GB2312" w:cs="仿宋_GB2312" w:eastAsia="仿宋_GB2312"/>
                <w:color w:val="333333"/>
              </w:rPr>
              <w:t xml:space="preserve">  （4）建立完善各类事件应急处置预案（如：火灾、爆炸、投毒、伤医、群体事件、医疗纠纷、无主病人、打架斗殴、寻衅滋事、盗窃破坏等），并将预案以书面的形式报医院主管部门备案，确保各类突发事件得到快速、妥善处置，确保医院安全稳定。</w:t>
            </w:r>
          </w:p>
          <w:p>
            <w:pPr>
              <w:pStyle w:val="null3"/>
            </w:pPr>
            <w:r>
              <w:rPr>
                <w:rFonts w:ascii="仿宋_GB2312" w:hAnsi="仿宋_GB2312" w:cs="仿宋_GB2312" w:eastAsia="仿宋_GB2312"/>
                <w:color w:val="333333"/>
              </w:rPr>
              <w:t xml:space="preserve">  （5）临时性重大集会活动安保服务，现有岗位人数无法有效应对的情况下，须及时调配其他人员进行支援，支援人员医院不另行支付费用。</w:t>
            </w:r>
          </w:p>
          <w:p>
            <w:pPr>
              <w:pStyle w:val="null3"/>
              <w:ind w:firstLine="480"/>
            </w:pPr>
            <w:r>
              <w:rPr>
                <w:rFonts w:ascii="仿宋_GB2312" w:hAnsi="仿宋_GB2312" w:cs="仿宋_GB2312" w:eastAsia="仿宋_GB2312"/>
                <w:b/>
                <w:color w:val="000000"/>
              </w:rPr>
              <w:t>2</w:t>
            </w:r>
            <w:r>
              <w:rPr>
                <w:rFonts w:ascii="仿宋_GB2312" w:hAnsi="仿宋_GB2312" w:cs="仿宋_GB2312" w:eastAsia="仿宋_GB2312"/>
                <w:b/>
                <w:color w:val="000000"/>
              </w:rPr>
              <w:t>.</w:t>
            </w:r>
            <w:r>
              <w:rPr>
                <w:rFonts w:ascii="仿宋_GB2312" w:hAnsi="仿宋_GB2312" w:cs="仿宋_GB2312" w:eastAsia="仿宋_GB2312"/>
                <w:b/>
                <w:color w:val="000000"/>
              </w:rPr>
              <w:t>车辆交通管理</w:t>
            </w:r>
          </w:p>
          <w:p>
            <w:pPr>
              <w:pStyle w:val="null3"/>
              <w:ind w:firstLine="480"/>
            </w:pPr>
            <w:r>
              <w:rPr>
                <w:rFonts w:ascii="仿宋_GB2312" w:hAnsi="仿宋_GB2312" w:cs="仿宋_GB2312" w:eastAsia="仿宋_GB2312"/>
                <w:color w:val="333333"/>
              </w:rPr>
              <w:t>（1）医院与中标供应商共同确定车管员岗位和岗位职责，实行24小时值班制度。</w:t>
            </w:r>
          </w:p>
          <w:p>
            <w:pPr>
              <w:pStyle w:val="null3"/>
            </w:pPr>
            <w:r>
              <w:rPr>
                <w:rFonts w:ascii="仿宋_GB2312" w:hAnsi="仿宋_GB2312" w:cs="仿宋_GB2312" w:eastAsia="仿宋_GB2312"/>
                <w:color w:val="333333"/>
              </w:rPr>
              <w:t>（2）正确引导入院车辆按照规定路线正确行驶、规范停放，杜绝出现乱停乱放、占用消防车通道和急救通道等不文明现象，确保院内交通及停车秩序井然有序。</w:t>
            </w:r>
          </w:p>
          <w:p>
            <w:pPr>
              <w:pStyle w:val="null3"/>
            </w:pPr>
            <w:r>
              <w:rPr>
                <w:rFonts w:ascii="仿宋_GB2312" w:hAnsi="仿宋_GB2312" w:cs="仿宋_GB2312" w:eastAsia="仿宋_GB2312"/>
                <w:color w:val="333333"/>
              </w:rPr>
              <w:t>（3）落实车辆出入管理制度，防止可能发生的交通事故、盗抢等事件。</w:t>
            </w:r>
          </w:p>
          <w:p>
            <w:pPr>
              <w:pStyle w:val="null3"/>
            </w:pPr>
            <w:r>
              <w:rPr>
                <w:rFonts w:ascii="仿宋_GB2312" w:hAnsi="仿宋_GB2312" w:cs="仿宋_GB2312" w:eastAsia="仿宋_GB2312"/>
                <w:color w:val="333333"/>
              </w:rPr>
              <w:t>（4）配合交警部门和城管部门疏导整治院门前交通和环境秩序，确保入院车辆及行人通道畅通，院门及周边环境秩序整洁。</w:t>
            </w:r>
          </w:p>
          <w:p>
            <w:pPr>
              <w:pStyle w:val="null3"/>
              <w:ind w:firstLine="482"/>
            </w:pPr>
            <w:r>
              <w:rPr>
                <w:rFonts w:ascii="仿宋_GB2312" w:hAnsi="仿宋_GB2312" w:cs="仿宋_GB2312" w:eastAsia="仿宋_GB2312"/>
                <w:b/>
                <w:color w:val="000000"/>
              </w:rPr>
              <w:t>3.</w:t>
            </w:r>
            <w:r>
              <w:rPr>
                <w:rFonts w:ascii="仿宋_GB2312" w:hAnsi="仿宋_GB2312" w:cs="仿宋_GB2312" w:eastAsia="仿宋_GB2312"/>
                <w:b/>
                <w:color w:val="000000"/>
              </w:rPr>
              <w:t>突发事件处理</w:t>
            </w:r>
          </w:p>
          <w:p>
            <w:pPr>
              <w:pStyle w:val="null3"/>
              <w:ind w:firstLine="480"/>
            </w:pPr>
            <w:r>
              <w:rPr>
                <w:rFonts w:ascii="仿宋_GB2312" w:hAnsi="仿宋_GB2312" w:cs="仿宋_GB2312" w:eastAsia="仿宋_GB2312"/>
              </w:rPr>
              <w:t>（1）中标供应商要随时紧急处置各类突发事件，因突发事件扩大，现有岗位人数无法有效应对的情况下，须及时调配其他人员进行支援，支援人员医院不另行支付费用。</w:t>
            </w:r>
          </w:p>
          <w:p>
            <w:pPr>
              <w:pStyle w:val="null3"/>
            </w:pPr>
            <w:r>
              <w:rPr>
                <w:rFonts w:ascii="仿宋_GB2312" w:hAnsi="仿宋_GB2312" w:cs="仿宋_GB2312" w:eastAsia="仿宋_GB2312"/>
                <w:color w:val="000000"/>
              </w:rPr>
              <w:t>（2）协助医疗纠纷处置工作，及时控制院内打架斗殴、寻衅滋事、酗酒闹事等违法行为，确保医院正常工作秩序。</w:t>
            </w:r>
          </w:p>
          <w:p>
            <w:pPr>
              <w:pStyle w:val="null3"/>
            </w:pPr>
            <w:r>
              <w:rPr>
                <w:rFonts w:ascii="仿宋_GB2312" w:hAnsi="仿宋_GB2312" w:cs="仿宋_GB2312" w:eastAsia="仿宋_GB2312"/>
                <w:color w:val="000000"/>
              </w:rPr>
              <w:t>（3）配合临床科室负责无主病人的处置工作；负责医院广告推销、乞讨流浪人员等闲杂人员的清理。</w:t>
            </w:r>
          </w:p>
          <w:p>
            <w:pPr>
              <w:pStyle w:val="null3"/>
            </w:pPr>
            <w:r>
              <w:rPr>
                <w:rFonts w:ascii="仿宋_GB2312" w:hAnsi="仿宋_GB2312" w:cs="仿宋_GB2312" w:eastAsia="仿宋_GB2312"/>
                <w:color w:val="000000"/>
              </w:rPr>
              <w:t>（4）负责通缉逃犯、在押罪犯、精神失常、醉酒人员等特殊人员进入医院的预防处置工作。</w:t>
            </w:r>
          </w:p>
          <w:p>
            <w:pPr>
              <w:pStyle w:val="null3"/>
            </w:pPr>
            <w:r>
              <w:rPr>
                <w:rFonts w:ascii="仿宋_GB2312" w:hAnsi="仿宋_GB2312" w:cs="仿宋_GB2312" w:eastAsia="仿宋_GB2312"/>
                <w:color w:val="000000"/>
              </w:rPr>
              <w:t>（5）负责抢劫、盗窃、破坏、纵火、爆炸等事件的处理。</w:t>
            </w:r>
          </w:p>
          <w:p>
            <w:pPr>
              <w:pStyle w:val="null3"/>
            </w:pPr>
            <w:r>
              <w:rPr>
                <w:rFonts w:ascii="仿宋_GB2312" w:hAnsi="仿宋_GB2312" w:cs="仿宋_GB2312" w:eastAsia="仿宋_GB2312"/>
                <w:color w:val="000000"/>
              </w:rPr>
              <w:t>（6）负责其他突发事件和特殊人员的应急处置工作。</w:t>
            </w:r>
          </w:p>
          <w:p>
            <w:pPr>
              <w:pStyle w:val="null3"/>
            </w:pPr>
            <w:r>
              <w:rPr>
                <w:rFonts w:ascii="仿宋_GB2312" w:hAnsi="仿宋_GB2312" w:cs="仿宋_GB2312" w:eastAsia="仿宋_GB2312"/>
                <w:color w:val="000000"/>
              </w:rPr>
              <w:t>（7）及时向医院主管部门报告工作及重大事件，负责联系政府相关部门（如公安、消防、应急等），并配合开展处置工作。</w:t>
            </w:r>
          </w:p>
          <w:p>
            <w:pPr>
              <w:pStyle w:val="null3"/>
            </w:pPr>
            <w:r>
              <w:rPr>
                <w:rFonts w:ascii="仿宋_GB2312" w:hAnsi="仿宋_GB2312" w:cs="仿宋_GB2312" w:eastAsia="仿宋_GB2312"/>
                <w:color w:val="000000"/>
              </w:rPr>
              <w:t xml:space="preserve">  </w:t>
            </w:r>
            <w:r>
              <w:rPr>
                <w:rFonts w:ascii="仿宋_GB2312" w:hAnsi="仿宋_GB2312" w:cs="仿宋_GB2312" w:eastAsia="仿宋_GB2312"/>
                <w:b/>
                <w:color w:val="000000"/>
              </w:rPr>
              <w:t xml:space="preserve">  4.安检工作</w:t>
            </w:r>
          </w:p>
          <w:p>
            <w:pPr>
              <w:pStyle w:val="null3"/>
            </w:pPr>
            <w:r>
              <w:rPr>
                <w:rFonts w:ascii="仿宋_GB2312" w:hAnsi="仿宋_GB2312" w:cs="仿宋_GB2312" w:eastAsia="仿宋_GB2312"/>
                <w:color w:val="000000"/>
              </w:rPr>
              <w:t>（1）遵守各项法律法规和安检各项规章制度，服从主管部门的管理，对违反法律法规或安检规章制度的现象应予拒绝并及时向主管部门报告。</w:t>
            </w:r>
          </w:p>
          <w:p>
            <w:pPr>
              <w:pStyle w:val="null3"/>
            </w:pPr>
            <w:r>
              <w:rPr>
                <w:rFonts w:ascii="仿宋_GB2312" w:hAnsi="仿宋_GB2312" w:cs="仿宋_GB2312" w:eastAsia="仿宋_GB2312"/>
                <w:color w:val="000000"/>
              </w:rPr>
              <w:t>（2）从事安检工作的安保人员必须经过培训，了解工作区域的基本情况，熟练掌握各种安全检查设备的操作和违禁品识别知识，按照规定着装上岗，佩戴标识规范，自觉维护安检人员岗位形象。</w:t>
            </w:r>
          </w:p>
          <w:p>
            <w:pPr>
              <w:pStyle w:val="null3"/>
            </w:pPr>
            <w:r>
              <w:rPr>
                <w:rFonts w:ascii="仿宋_GB2312" w:hAnsi="仿宋_GB2312" w:cs="仿宋_GB2312" w:eastAsia="仿宋_GB2312"/>
                <w:color w:val="000000"/>
              </w:rPr>
              <w:t>（3）按照“逢包必检”的安检要求，负责宣传引导入院人员进入安检区域，并通过相关安检仪器设备对进入医院的人员及所携物品进行安全检查。</w:t>
            </w:r>
          </w:p>
          <w:p>
            <w:pPr>
              <w:pStyle w:val="null3"/>
            </w:pPr>
            <w:r>
              <w:rPr>
                <w:rFonts w:ascii="仿宋_GB2312" w:hAnsi="仿宋_GB2312" w:cs="仿宋_GB2312" w:eastAsia="仿宋_GB2312"/>
                <w:color w:val="000000"/>
              </w:rPr>
              <w:t>（4）对可疑物品进行针对性检测，确定可疑物品性质，及时报告并移交现场管理人员处理，并做好记录。</w:t>
            </w:r>
          </w:p>
          <w:p>
            <w:pPr>
              <w:pStyle w:val="null3"/>
            </w:pPr>
            <w:r>
              <w:rPr>
                <w:rFonts w:ascii="仿宋_GB2312" w:hAnsi="仿宋_GB2312" w:cs="仿宋_GB2312" w:eastAsia="仿宋_GB2312"/>
                <w:color w:val="000000"/>
              </w:rPr>
              <w:t>（5）维护现场安检秩序，依法合理处置安检现场出现的突发性事件。</w:t>
            </w:r>
          </w:p>
          <w:p>
            <w:pPr>
              <w:pStyle w:val="null3"/>
            </w:pPr>
            <w:r>
              <w:rPr>
                <w:rFonts w:ascii="仿宋_GB2312" w:hAnsi="仿宋_GB2312" w:cs="仿宋_GB2312" w:eastAsia="仿宋_GB2312"/>
                <w:b/>
                <w:color w:val="000000"/>
              </w:rPr>
              <w:t>5.特定区域安保服务</w:t>
            </w:r>
          </w:p>
          <w:p>
            <w:pPr>
              <w:pStyle w:val="null3"/>
            </w:pPr>
            <w:r>
              <w:rPr>
                <w:rFonts w:ascii="仿宋_GB2312" w:hAnsi="仿宋_GB2312" w:cs="仿宋_GB2312" w:eastAsia="仿宋_GB2312"/>
                <w:color w:val="000000"/>
              </w:rPr>
              <w:t>（1）急诊科、门诊大厅、结算大厅</w:t>
            </w:r>
          </w:p>
          <w:p>
            <w:pPr>
              <w:pStyle w:val="null3"/>
            </w:pPr>
            <w:r>
              <w:rPr>
                <w:rFonts w:ascii="仿宋_GB2312" w:hAnsi="仿宋_GB2312" w:cs="仿宋_GB2312" w:eastAsia="仿宋_GB2312"/>
                <w:color w:val="000000"/>
              </w:rPr>
              <w:t>①维护现场就医秩序，负责诊区各项安全管理和巡视工作。</w:t>
            </w:r>
          </w:p>
          <w:p>
            <w:pPr>
              <w:pStyle w:val="null3"/>
            </w:pPr>
            <w:r>
              <w:rPr>
                <w:rFonts w:ascii="仿宋_GB2312" w:hAnsi="仿宋_GB2312" w:cs="仿宋_GB2312" w:eastAsia="仿宋_GB2312"/>
                <w:color w:val="000000"/>
              </w:rPr>
              <w:t>②执勤人员必须熟悉该区域基本情况，警惕预防和处置各类突发事件，有效保护医护人员人身安全、科室财产安全和患者群众就医安全。</w:t>
            </w:r>
          </w:p>
          <w:p>
            <w:pPr>
              <w:pStyle w:val="null3"/>
            </w:pPr>
            <w:r>
              <w:rPr>
                <w:rFonts w:ascii="仿宋_GB2312" w:hAnsi="仿宋_GB2312" w:cs="仿宋_GB2312" w:eastAsia="仿宋_GB2312"/>
                <w:color w:val="000000"/>
              </w:rPr>
              <w:t>③及时制止区域内发生的各种不文明现象。</w:t>
            </w:r>
          </w:p>
          <w:p>
            <w:pPr>
              <w:pStyle w:val="null3"/>
            </w:pPr>
            <w:r>
              <w:rPr>
                <w:rFonts w:ascii="仿宋_GB2312" w:hAnsi="仿宋_GB2312" w:cs="仿宋_GB2312" w:eastAsia="仿宋_GB2312"/>
                <w:color w:val="000000"/>
              </w:rPr>
              <w:t>④科室收治无主病人时应积极主动协助医护人员处置无主患者，如有收治刀伤、砍伤、枪伤及爆炸伤等可疑伤情的患者，在医护人员救治的同时立即报主管部门，经主管部门研判后报公安部门。</w:t>
            </w:r>
          </w:p>
          <w:p>
            <w:pPr>
              <w:pStyle w:val="null3"/>
            </w:pPr>
            <w:r>
              <w:rPr>
                <w:rFonts w:ascii="仿宋_GB2312" w:hAnsi="仿宋_GB2312" w:cs="仿宋_GB2312" w:eastAsia="仿宋_GB2312"/>
                <w:color w:val="000000"/>
              </w:rPr>
              <w:t>⑤加强夜间安全管理，增强机动反应能力，遇有可疑人员及闲杂人员等应及时清理盘查。</w:t>
            </w:r>
          </w:p>
          <w:p>
            <w:pPr>
              <w:pStyle w:val="null3"/>
            </w:pPr>
            <w:r>
              <w:rPr>
                <w:rFonts w:ascii="仿宋_GB2312" w:hAnsi="仿宋_GB2312" w:cs="仿宋_GB2312" w:eastAsia="仿宋_GB2312"/>
                <w:color w:val="000000"/>
              </w:rPr>
              <w:t>⑥其他工作任务按照医院实际工作安排进行调整。</w:t>
            </w:r>
          </w:p>
          <w:p>
            <w:pPr>
              <w:pStyle w:val="null3"/>
            </w:pPr>
            <w:r>
              <w:rPr>
                <w:rFonts w:ascii="仿宋_GB2312" w:hAnsi="仿宋_GB2312" w:cs="仿宋_GB2312" w:eastAsia="仿宋_GB2312"/>
                <w:color w:val="000000"/>
              </w:rPr>
              <w:t>（2）监控中心</w:t>
            </w:r>
          </w:p>
          <w:p>
            <w:pPr>
              <w:pStyle w:val="null3"/>
            </w:pPr>
            <w:r>
              <w:rPr>
                <w:rFonts w:ascii="仿宋_GB2312" w:hAnsi="仿宋_GB2312" w:cs="仿宋_GB2312" w:eastAsia="仿宋_GB2312"/>
                <w:color w:val="000000"/>
              </w:rPr>
              <w:t>①中标供应商配合医院实施安防监控设备和火灾报警设备的值守和操作，严格遵守医院监控中心各项工作制度。</w:t>
            </w:r>
          </w:p>
          <w:p>
            <w:pPr>
              <w:pStyle w:val="null3"/>
            </w:pPr>
            <w:r>
              <w:rPr>
                <w:rFonts w:ascii="仿宋_GB2312" w:hAnsi="仿宋_GB2312" w:cs="仿宋_GB2312" w:eastAsia="仿宋_GB2312"/>
                <w:color w:val="000000"/>
              </w:rPr>
              <w:t>②中标供应商值守人员必须准时上岗，坚守工作岗位，工作期间不得脱岗串岗，认真履行岗位职责，实行24小时工作时间。</w:t>
            </w:r>
          </w:p>
          <w:p>
            <w:pPr>
              <w:pStyle w:val="null3"/>
            </w:pPr>
            <w:r>
              <w:rPr>
                <w:rFonts w:ascii="仿宋_GB2312" w:hAnsi="仿宋_GB2312" w:cs="仿宋_GB2312" w:eastAsia="仿宋_GB2312"/>
                <w:color w:val="000000"/>
              </w:rPr>
              <w:t>③中标供应商监控室值守人员正常休假必须提前一周告知监控中心班组长，并安排有相同资质的替换人员熟悉岗位，否则不予准假。</w:t>
            </w:r>
          </w:p>
          <w:p>
            <w:pPr>
              <w:pStyle w:val="null3"/>
              <w:ind w:left="240"/>
            </w:pPr>
            <w:r>
              <w:rPr>
                <w:rFonts w:ascii="仿宋_GB2312" w:hAnsi="仿宋_GB2312" w:cs="仿宋_GB2312" w:eastAsia="仿宋_GB2312"/>
                <w:b/>
                <w:color w:val="000000"/>
              </w:rPr>
              <w:t>（三）装备物资要求</w:t>
            </w:r>
          </w:p>
          <w:p>
            <w:pPr>
              <w:pStyle w:val="null3"/>
            </w:pPr>
            <w:r>
              <w:rPr>
                <w:rFonts w:ascii="仿宋_GB2312" w:hAnsi="仿宋_GB2312" w:cs="仿宋_GB2312" w:eastAsia="仿宋_GB2312"/>
                <w:color w:val="000000"/>
              </w:rPr>
              <w:t>采购人根据项目实际需求，需要供应商提供作业设备（自有或租赁）用于物业管理服务的，以下为最低配置要求：</w:t>
            </w:r>
          </w:p>
          <w:p>
            <w:pPr>
              <w:pStyle w:val="null3"/>
            </w:pPr>
            <w:r>
              <w:rPr>
                <w:rFonts w:ascii="仿宋_GB2312" w:hAnsi="仿宋_GB2312" w:cs="仿宋_GB2312" w:eastAsia="仿宋_GB2312"/>
                <w:color w:val="000000"/>
              </w:rPr>
              <w:t>1、服装要求</w:t>
            </w:r>
          </w:p>
          <w:tbl>
            <w:tblPr>
              <w:tblInd w:type="dxa" w:w="315"/>
              <w:tblBorders>
                <w:top w:val="none" w:color="000000" w:sz="4"/>
                <w:left w:val="none" w:color="000000" w:sz="4"/>
                <w:bottom w:val="none" w:color="000000" w:sz="4"/>
                <w:right w:val="none" w:color="000000" w:sz="4"/>
                <w:insideH w:val="none"/>
                <w:insideV w:val="none"/>
              </w:tblBorders>
            </w:tblPr>
            <w:tblGrid>
              <w:gridCol w:w="686"/>
              <w:gridCol w:w="985"/>
              <w:gridCol w:w="875"/>
            </w:tblGrid>
            <w:tr>
              <w:tc>
                <w:tcPr>
                  <w:tcW w:type="dxa" w:w="6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名称</w:t>
                  </w:r>
                </w:p>
              </w:tc>
              <w:tc>
                <w:tcPr>
                  <w:tcW w:type="dxa" w:w="98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种类</w:t>
                  </w:r>
                </w:p>
              </w:tc>
              <w:tc>
                <w:tcPr>
                  <w:tcW w:type="dxa" w:w="87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 xml:space="preserve">       数量/人</w:t>
                  </w:r>
                </w:p>
              </w:tc>
            </w:tr>
            <w:tr>
              <w:tc>
                <w:tcPr>
                  <w:tcW w:type="dxa" w:w="68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color w:val="000000"/>
                    </w:rPr>
                    <w:t>保安制服</w:t>
                  </w:r>
                </w:p>
              </w:tc>
              <w:tc>
                <w:tcPr>
                  <w:tcW w:type="dxa" w:w="9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春秋装</w:t>
                  </w:r>
                </w:p>
              </w:tc>
              <w:tc>
                <w:tcPr>
                  <w:tcW w:type="dxa" w:w="8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 xml:space="preserve">     2套</w:t>
                  </w:r>
                </w:p>
              </w:tc>
            </w:tr>
            <w:tr>
              <w:tc>
                <w:tcPr>
                  <w:tcW w:type="dxa" w:w="686"/>
                  <w:vMerge/>
                  <w:tcBorders>
                    <w:top w:val="none" w:color="000000" w:sz="4"/>
                    <w:left w:val="single" w:color="000000" w:sz="4"/>
                    <w:bottom w:val="single" w:color="000000" w:sz="4"/>
                    <w:right w:val="single" w:color="000000" w:sz="4"/>
                  </w:tcBorders>
                </w:tcPr>
                <w:p/>
              </w:tc>
              <w:tc>
                <w:tcPr>
                  <w:tcW w:type="dxa" w:w="9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夏季短袖夏长裤</w:t>
                  </w:r>
                </w:p>
              </w:tc>
              <w:tc>
                <w:tcPr>
                  <w:tcW w:type="dxa" w:w="8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 xml:space="preserve">     2 套</w:t>
                  </w:r>
                </w:p>
              </w:tc>
            </w:tr>
            <w:tr>
              <w:tc>
                <w:tcPr>
                  <w:tcW w:type="dxa" w:w="686"/>
                  <w:vMerge/>
                  <w:tcBorders>
                    <w:top w:val="none" w:color="000000" w:sz="4"/>
                    <w:left w:val="single" w:color="000000" w:sz="4"/>
                    <w:bottom w:val="single" w:color="000000" w:sz="4"/>
                    <w:right w:val="single" w:color="000000" w:sz="4"/>
                  </w:tcBorders>
                </w:tcPr>
                <w:p/>
              </w:tc>
              <w:tc>
                <w:tcPr>
                  <w:tcW w:type="dxa" w:w="9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棉衣</w:t>
                  </w:r>
                </w:p>
              </w:tc>
              <w:tc>
                <w:tcPr>
                  <w:tcW w:type="dxa" w:w="8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 xml:space="preserve">    1件</w:t>
                  </w:r>
                </w:p>
              </w:tc>
            </w:tr>
            <w:tr>
              <w:tc>
                <w:tcPr>
                  <w:tcW w:type="dxa" w:w="686"/>
                  <w:vMerge/>
                  <w:tcBorders>
                    <w:top w:val="none" w:color="000000" w:sz="4"/>
                    <w:left w:val="single" w:color="000000" w:sz="4"/>
                    <w:bottom w:val="single" w:color="000000" w:sz="4"/>
                    <w:right w:val="single" w:color="000000" w:sz="4"/>
                  </w:tcBorders>
                </w:tcPr>
                <w:p/>
              </w:tc>
              <w:tc>
                <w:tcPr>
                  <w:tcW w:type="dxa" w:w="9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制服标识</w:t>
                  </w:r>
                </w:p>
              </w:tc>
              <w:tc>
                <w:tcPr>
                  <w:tcW w:type="dxa" w:w="8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 xml:space="preserve">    2个</w:t>
                  </w:r>
                </w:p>
              </w:tc>
            </w:tr>
            <w:tr>
              <w:tc>
                <w:tcPr>
                  <w:tcW w:type="dxa" w:w="6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被褥</w:t>
                  </w:r>
                </w:p>
              </w:tc>
              <w:tc>
                <w:tcPr>
                  <w:tcW w:type="dxa" w:w="9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被褥</w:t>
                  </w:r>
                </w:p>
              </w:tc>
              <w:tc>
                <w:tcPr>
                  <w:tcW w:type="dxa" w:w="8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color w:val="000000"/>
                    </w:rPr>
                    <w:t xml:space="preserve">    1套</w:t>
                  </w:r>
                </w:p>
              </w:tc>
            </w:tr>
          </w:tbl>
          <w:p>
            <w:pPr>
              <w:pStyle w:val="null3"/>
            </w:pPr>
            <w:r>
              <w:rPr>
                <w:rFonts w:ascii="仿宋_GB2312" w:hAnsi="仿宋_GB2312" w:cs="仿宋_GB2312" w:eastAsia="仿宋_GB2312"/>
                <w:color w:val="000000"/>
              </w:rPr>
              <w:t>2、装备要求</w:t>
            </w:r>
          </w:p>
          <w:tbl>
            <w:tblPr>
              <w:tblBorders>
                <w:top w:val="none" w:color="000000" w:sz="4"/>
                <w:left w:val="none" w:color="000000" w:sz="4"/>
                <w:bottom w:val="none" w:color="000000" w:sz="4"/>
                <w:right w:val="none" w:color="000000" w:sz="4"/>
                <w:insideH w:val="none"/>
                <w:insideV w:val="none"/>
              </w:tblBorders>
            </w:tblPr>
            <w:tblGrid>
              <w:gridCol w:w="203"/>
              <w:gridCol w:w="1254"/>
              <w:gridCol w:w="280"/>
              <w:gridCol w:w="271"/>
              <w:gridCol w:w="546"/>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序号</w:t>
                  </w:r>
                </w:p>
              </w:tc>
              <w:tc>
                <w:tcPr>
                  <w:tcW w:type="dxa" w:w="12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名称</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数量</w:t>
                  </w:r>
                </w:p>
              </w:tc>
              <w:tc>
                <w:tcPr>
                  <w:tcW w:type="dxa" w:w="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单位</w:t>
                  </w:r>
                </w:p>
              </w:tc>
              <w:tc>
                <w:tcPr>
                  <w:tcW w:type="dxa" w:w="5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备注</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手持式金属探测器</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2</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个</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2</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巡更棒</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2</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个</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3</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防爆罐</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2</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个</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4</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防刺服</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2</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套</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5</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防割手套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2</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套</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6</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执法记录仪</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3</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部</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7</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强光手电</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2</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个</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8</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催泪瓦斯</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2</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个</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9</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防暴钢叉</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4</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个</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10</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防暴抓捕腰叉</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4</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个</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11</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防暴短棍</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3</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个</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12</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防暴盾牌</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4</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个</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13</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应急棍</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4</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根</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14</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防暴头盔</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2</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顶</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15</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防暴设备固定架</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个</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根据安防设备数量准备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16</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防暴器材柜</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个</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根据安防设备数量准备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17</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对讲机</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根据岗位人员数量配备</w:t>
                  </w:r>
                </w:p>
              </w:tc>
            </w:tr>
          </w:tbl>
          <w:p>
            <w:pPr>
              <w:pStyle w:val="null3"/>
            </w:pPr>
            <w:r>
              <w:rPr>
                <w:rFonts w:ascii="仿宋_GB2312" w:hAnsi="仿宋_GB2312" w:cs="仿宋_GB2312" w:eastAsia="仿宋_GB2312"/>
                <w:color w:val="000000"/>
              </w:rPr>
              <w:t>四、人员要求</w:t>
            </w:r>
          </w:p>
          <w:p>
            <w:pPr>
              <w:pStyle w:val="null3"/>
            </w:pPr>
            <w:r>
              <w:rPr>
                <w:rFonts w:ascii="仿宋_GB2312" w:hAnsi="仿宋_GB2312" w:cs="仿宋_GB2312" w:eastAsia="仿宋_GB2312"/>
                <w:color w:val="000000"/>
              </w:rPr>
              <w:t>1、基础要求：供应商对所录人员要严格调查审核，保证录用人员没有任何违法犯罪纪录，健康状况良好、无精神病史、无传染病，全员上岗前持有《保安员证》</w:t>
            </w:r>
            <w:r>
              <w:rPr>
                <w:rFonts w:ascii="仿宋_GB2312" w:hAnsi="仿宋_GB2312" w:cs="仿宋_GB2312" w:eastAsia="仿宋_GB2312"/>
                <w:sz w:val="21"/>
              </w:rPr>
              <w:t>供应商须承诺</w:t>
            </w:r>
            <w:r>
              <w:rPr>
                <w:rFonts w:ascii="仿宋_GB2312" w:hAnsi="仿宋_GB2312" w:cs="仿宋_GB2312" w:eastAsia="仿宋_GB2312"/>
                <w:color w:val="000000"/>
              </w:rPr>
              <w:t>。同时所有保安工作人员进行上岗前健康体检，体检不合格人员不得从事该项目工作，并将所有从事保安工作人员体检结果交医院备案。</w:t>
            </w:r>
          </w:p>
          <w:p>
            <w:pPr>
              <w:pStyle w:val="null3"/>
            </w:pPr>
            <w:r>
              <w:rPr>
                <w:rFonts w:ascii="仿宋_GB2312" w:hAnsi="仿宋_GB2312" w:cs="仿宋_GB2312" w:eastAsia="仿宋_GB2312"/>
                <w:color w:val="000000"/>
              </w:rPr>
              <w:t>各岗位具体要求：</w:t>
            </w:r>
          </w:p>
          <w:tbl>
            <w:tblPr>
              <w:tblBorders>
                <w:top w:val="none" w:color="000000" w:sz="4"/>
                <w:left w:val="none" w:color="000000" w:sz="4"/>
                <w:bottom w:val="none" w:color="000000" w:sz="4"/>
                <w:right w:val="none" w:color="000000" w:sz="4"/>
                <w:insideH w:val="none"/>
                <w:insideV w:val="none"/>
              </w:tblBorders>
            </w:tblPr>
            <w:tblGrid>
              <w:gridCol w:w="202"/>
              <w:gridCol w:w="1988"/>
              <w:gridCol w:w="358"/>
            </w:tblGrid>
            <w:tr>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序号</w:t>
                  </w:r>
                </w:p>
              </w:tc>
              <w:tc>
                <w:tcPr>
                  <w:tcW w:type="dxa" w:w="19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岗位</w:t>
                  </w:r>
                </w:p>
              </w:tc>
              <w:tc>
                <w:tcPr>
                  <w:tcW w:type="dxa" w:w="3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服务期内人数</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一</w:t>
                  </w:r>
                </w:p>
              </w:tc>
              <w:tc>
                <w:tcPr>
                  <w:tcW w:type="dxa" w:w="19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项目负责</w:t>
                  </w:r>
                  <w:r>
                    <w:rPr>
                      <w:rFonts w:ascii="仿宋_GB2312" w:hAnsi="仿宋_GB2312" w:cs="仿宋_GB2312" w:eastAsia="仿宋_GB2312"/>
                      <w:sz w:val="21"/>
                    </w:rPr>
                    <w:t>人：</w:t>
                  </w:r>
                  <w:r>
                    <w:rPr>
                      <w:rFonts w:ascii="仿宋_GB2312" w:hAnsi="仿宋_GB2312" w:cs="仿宋_GB2312" w:eastAsia="仿宋_GB2312"/>
                      <w:sz w:val="21"/>
                    </w:rPr>
                    <w:t>年龄</w:t>
                  </w:r>
                  <w:r>
                    <w:rPr>
                      <w:rFonts w:ascii="仿宋_GB2312" w:hAnsi="仿宋_GB2312" w:cs="仿宋_GB2312" w:eastAsia="仿宋_GB2312"/>
                      <w:sz w:val="21"/>
                    </w:rPr>
                    <w:t>≤50</w:t>
                  </w:r>
                  <w:r>
                    <w:rPr>
                      <w:rFonts w:ascii="仿宋_GB2312" w:hAnsi="仿宋_GB2312" w:cs="仿宋_GB2312" w:eastAsia="仿宋_GB2312"/>
                      <w:sz w:val="21"/>
                    </w:rPr>
                    <w:t>周岁，</w:t>
                  </w:r>
                  <w:r>
                    <w:rPr>
                      <w:rFonts w:ascii="仿宋_GB2312" w:hAnsi="仿宋_GB2312" w:cs="仿宋_GB2312" w:eastAsia="仿宋_GB2312"/>
                      <w:sz w:val="21"/>
                    </w:rPr>
                    <w:t>必须有三年以上保安服务管理经验，（退伍军人满足本条优先考虑）具有保安证</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二</w:t>
                  </w:r>
                </w:p>
              </w:tc>
              <w:tc>
                <w:tcPr>
                  <w:tcW w:type="dxa" w:w="19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队长</w:t>
                  </w:r>
                  <w:r>
                    <w:rPr>
                      <w:rFonts w:ascii="仿宋_GB2312" w:hAnsi="仿宋_GB2312" w:cs="仿宋_GB2312" w:eastAsia="仿宋_GB2312"/>
                      <w:sz w:val="21"/>
                    </w:rPr>
                    <w:t>：</w:t>
                  </w:r>
                  <w:r>
                    <w:rPr>
                      <w:rFonts w:ascii="仿宋_GB2312" w:hAnsi="仿宋_GB2312" w:cs="仿宋_GB2312" w:eastAsia="仿宋_GB2312"/>
                      <w:sz w:val="21"/>
                    </w:rPr>
                    <w:t>年龄</w:t>
                  </w:r>
                  <w:r>
                    <w:rPr>
                      <w:rFonts w:ascii="仿宋_GB2312" w:hAnsi="仿宋_GB2312" w:cs="仿宋_GB2312" w:eastAsia="仿宋_GB2312"/>
                      <w:sz w:val="21"/>
                    </w:rPr>
                    <w:t>≤50</w:t>
                  </w:r>
                  <w:r>
                    <w:rPr>
                      <w:rFonts w:ascii="仿宋_GB2312" w:hAnsi="仿宋_GB2312" w:cs="仿宋_GB2312" w:eastAsia="仿宋_GB2312"/>
                      <w:sz w:val="21"/>
                    </w:rPr>
                    <w:t>周岁，</w:t>
                  </w:r>
                  <w:r>
                    <w:rPr>
                      <w:rFonts w:ascii="仿宋_GB2312" w:hAnsi="仿宋_GB2312" w:cs="仿宋_GB2312" w:eastAsia="仿宋_GB2312"/>
                      <w:sz w:val="21"/>
                    </w:rPr>
                    <w:t>必须有三年以上保安服务管理经验，（退伍军人满足本条优先考虑）具有保安证</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三</w:t>
                  </w:r>
                </w:p>
              </w:tc>
              <w:tc>
                <w:tcPr>
                  <w:tcW w:type="dxa" w:w="19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保安员</w:t>
                  </w:r>
                  <w:r>
                    <w:rPr>
                      <w:rFonts w:ascii="仿宋_GB2312" w:hAnsi="仿宋_GB2312" w:cs="仿宋_GB2312" w:eastAsia="仿宋_GB2312"/>
                      <w:sz w:val="21"/>
                    </w:rPr>
                    <w:t>：</w:t>
                  </w:r>
                  <w:r>
                    <w:rPr>
                      <w:rFonts w:ascii="仿宋_GB2312" w:hAnsi="仿宋_GB2312" w:cs="仿宋_GB2312" w:eastAsia="仿宋_GB2312"/>
                      <w:sz w:val="21"/>
                    </w:rPr>
                    <w:t>年龄</w:t>
                  </w:r>
                  <w:r>
                    <w:rPr>
                      <w:rFonts w:ascii="仿宋_GB2312" w:hAnsi="仿宋_GB2312" w:cs="仿宋_GB2312" w:eastAsia="仿宋_GB2312"/>
                      <w:sz w:val="21"/>
                    </w:rPr>
                    <w:t>18-55</w:t>
                  </w:r>
                  <w:r>
                    <w:rPr>
                      <w:rFonts w:ascii="仿宋_GB2312" w:hAnsi="仿宋_GB2312" w:cs="仿宋_GB2312" w:eastAsia="仿宋_GB2312"/>
                      <w:sz w:val="21"/>
                    </w:rPr>
                    <w:t>岁；保安员不少于</w:t>
                  </w:r>
                  <w:r>
                    <w:rPr>
                      <w:rFonts w:ascii="仿宋_GB2312" w:hAnsi="仿宋_GB2312" w:cs="仿宋_GB2312" w:eastAsia="仿宋_GB2312"/>
                      <w:sz w:val="21"/>
                    </w:rPr>
                    <w:t>7</w:t>
                  </w:r>
                  <w:r>
                    <w:rPr>
                      <w:rFonts w:ascii="仿宋_GB2312" w:hAnsi="仿宋_GB2312" w:cs="仿宋_GB2312" w:eastAsia="仿宋_GB2312"/>
                      <w:sz w:val="21"/>
                    </w:rPr>
                    <w:t>名，要求</w:t>
                  </w:r>
                  <w:r>
                    <w:rPr>
                      <w:rFonts w:ascii="仿宋_GB2312" w:hAnsi="仿宋_GB2312" w:cs="仿宋_GB2312" w:eastAsia="仿宋_GB2312"/>
                      <w:sz w:val="21"/>
                    </w:rPr>
                    <w:t>55</w:t>
                  </w:r>
                  <w:r>
                    <w:rPr>
                      <w:rFonts w:ascii="仿宋_GB2312" w:hAnsi="仿宋_GB2312" w:cs="仿宋_GB2312" w:eastAsia="仿宋_GB2312"/>
                      <w:sz w:val="21"/>
                    </w:rPr>
                    <w:t>周岁以下，</w:t>
                  </w:r>
                  <w:r>
                    <w:rPr>
                      <w:rFonts w:ascii="仿宋_GB2312" w:hAnsi="仿宋_GB2312" w:cs="仿宋_GB2312" w:eastAsia="仿宋_GB2312"/>
                      <w:sz w:val="21"/>
                    </w:rPr>
                    <w:t>形象好气质佳。</w:t>
                  </w:r>
                  <w:r>
                    <w:rPr>
                      <w:rFonts w:ascii="仿宋_GB2312" w:hAnsi="仿宋_GB2312" w:cs="仿宋_GB2312" w:eastAsia="仿宋_GB2312"/>
                      <w:sz w:val="21"/>
                    </w:rPr>
                    <w:t>（退伍军人满足本条优先考虑）具有保安证</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≥7</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合计</w:t>
                  </w:r>
                </w:p>
              </w:tc>
              <w:tc>
                <w:tcPr>
                  <w:tcW w:type="dxa" w:w="19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≥9</w:t>
                  </w:r>
                </w:p>
              </w:tc>
            </w:tr>
          </w:tbl>
          <w:p>
            <w:pPr>
              <w:pStyle w:val="null3"/>
            </w:pPr>
            <w:r>
              <w:rPr>
                <w:rFonts w:ascii="仿宋_GB2312" w:hAnsi="仿宋_GB2312" w:cs="仿宋_GB2312" w:eastAsia="仿宋_GB2312"/>
                <w:color w:val="000000"/>
              </w:rPr>
              <w:t>2、中标供应商要确保所聘用人员遵纪守法，无不良和违法记录。岗位要求着装统一，注意仪表仪容，使用文明礼貌用语。</w:t>
            </w:r>
          </w:p>
          <w:p>
            <w:pPr>
              <w:pStyle w:val="null3"/>
            </w:pPr>
            <w:r>
              <w:rPr>
                <w:rFonts w:ascii="仿宋_GB2312" w:hAnsi="仿宋_GB2312" w:cs="仿宋_GB2312" w:eastAsia="仿宋_GB2312"/>
                <w:color w:val="000000"/>
              </w:rPr>
              <w:t>3、共计招标人员不少于9人，每月根据考勤情况据实结算。医院与供应商共同确定执勤岗位，按实际工作情况随时调整。投标供应商应承诺本项目提供服务保障人员不少于9人。</w:t>
            </w:r>
          </w:p>
          <w:p>
            <w:pPr>
              <w:pStyle w:val="null3"/>
            </w:pPr>
            <w:r>
              <w:rPr>
                <w:rFonts w:ascii="仿宋_GB2312" w:hAnsi="仿宋_GB2312" w:cs="仿宋_GB2312" w:eastAsia="仿宋_GB2312"/>
                <w:color w:val="000000"/>
              </w:rPr>
              <w:t>4、中标供应商需承诺，拟派项目负责人不同时兼任其他项目管理岗位，如需更换需经采购人同意。</w:t>
            </w:r>
          </w:p>
          <w:p>
            <w:pPr>
              <w:pStyle w:val="null3"/>
            </w:pPr>
            <w:r>
              <w:rPr>
                <w:rFonts w:ascii="仿宋_GB2312" w:hAnsi="仿宋_GB2312" w:cs="仿宋_GB2312" w:eastAsia="仿宋_GB2312"/>
                <w:color w:val="000000"/>
              </w:rPr>
              <w:t>5、供应商应当自行为服务人员办理必需的保险，有关人员伤亡及第三者责任险均应当考虑在报价因素中。</w:t>
            </w:r>
          </w:p>
          <w:p>
            <w:pPr>
              <w:pStyle w:val="null3"/>
            </w:pPr>
            <w:r>
              <w:rPr>
                <w:rFonts w:ascii="仿宋_GB2312" w:hAnsi="仿宋_GB2312" w:cs="仿宋_GB2312" w:eastAsia="仿宋_GB2312"/>
                <w:color w:val="000000"/>
              </w:rPr>
              <w:t>注：供应商应当按国家相关法律法规，合理确定服务人员工资标准、工作时间等。</w:t>
            </w:r>
          </w:p>
          <w:p>
            <w:pPr>
              <w:pStyle w:val="null3"/>
            </w:pPr>
            <w:r>
              <w:rPr>
                <w:rFonts w:ascii="仿宋_GB2312" w:hAnsi="仿宋_GB2312" w:cs="仿宋_GB2312" w:eastAsia="仿宋_GB2312"/>
                <w:color w:val="000000"/>
              </w:rPr>
              <w:t>五、商务要求</w:t>
            </w:r>
          </w:p>
          <w:p>
            <w:pPr>
              <w:pStyle w:val="null3"/>
            </w:pPr>
            <w:r>
              <w:rPr>
                <w:rFonts w:ascii="仿宋_GB2312" w:hAnsi="仿宋_GB2312" w:cs="仿宋_GB2312" w:eastAsia="仿宋_GB2312"/>
                <w:color w:val="000000"/>
              </w:rPr>
              <w:t xml:space="preserve">  （一）服务期：自合同签订之日起1年，以双方签订合同时约定的起止时间为准。</w:t>
            </w:r>
          </w:p>
          <w:p>
            <w:pPr>
              <w:pStyle w:val="null3"/>
            </w:pPr>
            <w:r>
              <w:rPr>
                <w:rFonts w:ascii="仿宋_GB2312" w:hAnsi="仿宋_GB2312" w:cs="仿宋_GB2312" w:eastAsia="仿宋_GB2312"/>
                <w:color w:val="000000"/>
              </w:rPr>
              <w:t>（二）本项目服务人员工资不得低于大荔县最低工资标准。</w:t>
            </w:r>
          </w:p>
          <w:p>
            <w:pPr>
              <w:pStyle w:val="null3"/>
            </w:pPr>
            <w:r>
              <w:rPr>
                <w:rFonts w:ascii="仿宋_GB2312" w:hAnsi="仿宋_GB2312" w:cs="仿宋_GB2312" w:eastAsia="仿宋_GB2312"/>
                <w:color w:val="000000"/>
              </w:rPr>
              <w:t>（三）合同期内，中标供应商违反劳动法或其他相关法律法规造成恶劣影响，或未按时足额发放员工资影响恶劣的，采购人有权终止合同，经济损失和法律责任由中标供应商承担。</w:t>
            </w:r>
          </w:p>
          <w:p>
            <w:pPr>
              <w:pStyle w:val="null3"/>
            </w:pPr>
            <w:r>
              <w:rPr>
                <w:rFonts w:ascii="仿宋_GB2312" w:hAnsi="仿宋_GB2312" w:cs="仿宋_GB2312" w:eastAsia="仿宋_GB2312"/>
                <w:color w:val="000000"/>
              </w:rPr>
              <w:t>六、其他要求</w:t>
            </w:r>
          </w:p>
          <w:p>
            <w:pPr>
              <w:pStyle w:val="null3"/>
            </w:pPr>
            <w:r>
              <w:rPr>
                <w:rFonts w:ascii="仿宋_GB2312" w:hAnsi="仿宋_GB2312" w:cs="仿宋_GB2312" w:eastAsia="仿宋_GB2312"/>
                <w:color w:val="000000"/>
              </w:rPr>
              <w:t>1、所有人员实行全天24小时轮值制度，除上岗人员外，其他所有人员作为临时备勤，如有突发情况发生，随时待命，随时出动。</w:t>
            </w:r>
          </w:p>
          <w:p>
            <w:pPr>
              <w:pStyle w:val="null3"/>
            </w:pPr>
            <w:r>
              <w:rPr>
                <w:rFonts w:ascii="仿宋_GB2312" w:hAnsi="仿宋_GB2312" w:cs="仿宋_GB2312" w:eastAsia="仿宋_GB2312"/>
                <w:color w:val="000000"/>
              </w:rPr>
              <w:t>2、安保公司应具有相关资质和丰富的行业经验。</w:t>
            </w:r>
          </w:p>
          <w:p>
            <w:pPr>
              <w:pStyle w:val="null3"/>
            </w:pPr>
            <w:r>
              <w:rPr>
                <w:rFonts w:ascii="仿宋_GB2312" w:hAnsi="仿宋_GB2312" w:cs="仿宋_GB2312" w:eastAsia="仿宋_GB2312"/>
                <w:color w:val="000000"/>
              </w:rPr>
              <w:t>3、仪容：统一着装，佩戴明显标识，仪表整洁、举止文明。</w:t>
            </w:r>
          </w:p>
          <w:p>
            <w:pPr>
              <w:pStyle w:val="null3"/>
            </w:pPr>
            <w:r>
              <w:rPr>
                <w:rFonts w:ascii="仿宋_GB2312" w:hAnsi="仿宋_GB2312" w:cs="仿宋_GB2312" w:eastAsia="仿宋_GB2312"/>
                <w:color w:val="000000"/>
              </w:rPr>
              <w:t>4、严格遵守医院的各项规章制度和安保工作纪律。</w:t>
            </w:r>
          </w:p>
          <w:p>
            <w:pPr>
              <w:pStyle w:val="null3"/>
            </w:pPr>
            <w:r>
              <w:rPr>
                <w:rFonts w:ascii="仿宋_GB2312" w:hAnsi="仿宋_GB2312" w:cs="仿宋_GB2312" w:eastAsia="仿宋_GB2312"/>
                <w:color w:val="000000"/>
              </w:rPr>
              <w:t>5、专业素养：安保人员均经过严格的选拔、培训和考核，具备专业的安保知识和技能，以确保能够有效地应对各种安全状况。</w:t>
            </w:r>
          </w:p>
          <w:p>
            <w:pPr>
              <w:pStyle w:val="null3"/>
            </w:pPr>
            <w:r>
              <w:rPr>
                <w:rFonts w:ascii="仿宋_GB2312" w:hAnsi="仿宋_GB2312" w:cs="仿宋_GB2312" w:eastAsia="仿宋_GB2312"/>
                <w:color w:val="000000"/>
              </w:rPr>
              <w:t>6、坚守岗位：严格遵守工作时间安排，不空岗、不脱岗，始终保持警惕，认真履行安保职责。</w:t>
            </w:r>
          </w:p>
          <w:p>
            <w:pPr>
              <w:pStyle w:val="null3"/>
            </w:pPr>
            <w:r>
              <w:rPr>
                <w:rFonts w:ascii="仿宋_GB2312" w:hAnsi="仿宋_GB2312" w:cs="仿宋_GB2312" w:eastAsia="仿宋_GB2312"/>
                <w:color w:val="000000"/>
              </w:rPr>
              <w:t>7、礼貌待人：以礼貌、热情、友好的态度对待每一个人，展现良好的职业形象。</w:t>
            </w:r>
          </w:p>
          <w:p>
            <w:pPr>
              <w:pStyle w:val="null3"/>
            </w:pPr>
            <w:r>
              <w:rPr>
                <w:rFonts w:ascii="仿宋_GB2312" w:hAnsi="仿宋_GB2312" w:cs="仿宋_GB2312" w:eastAsia="仿宋_GB2312"/>
                <w:color w:val="000000"/>
              </w:rPr>
              <w:t>8、快速响应：对于任何安全事件或突发情况，做到迅速响应，第一时间采取合理、有效的行动，保障人员和财产安全。</w:t>
            </w:r>
          </w:p>
          <w:p>
            <w:pPr>
              <w:pStyle w:val="null3"/>
            </w:pPr>
            <w:r>
              <w:rPr>
                <w:rFonts w:ascii="仿宋_GB2312" w:hAnsi="仿宋_GB2312" w:cs="仿宋_GB2312" w:eastAsia="仿宋_GB2312"/>
                <w:color w:val="000000"/>
              </w:rPr>
              <w:t>9、巡逻监控：按照规定的路线和时间进行巡逻，保持对服务区域的全面监控，及时发现并消除安全隐患。</w:t>
            </w:r>
          </w:p>
          <w:p>
            <w:pPr>
              <w:pStyle w:val="null3"/>
            </w:pPr>
            <w:r>
              <w:rPr>
                <w:rFonts w:ascii="仿宋_GB2312" w:hAnsi="仿宋_GB2312" w:cs="仿宋_GB2312" w:eastAsia="仿宋_GB2312"/>
                <w:color w:val="000000"/>
              </w:rPr>
              <w:t>10、信息保密：严格保护医院的相关信息，不泄露任何涉及安全和保密的内容。</w:t>
            </w:r>
          </w:p>
          <w:p>
            <w:pPr>
              <w:pStyle w:val="null3"/>
            </w:pPr>
            <w:r>
              <w:rPr>
                <w:rFonts w:ascii="仿宋_GB2312" w:hAnsi="仿宋_GB2312" w:cs="仿宋_GB2312" w:eastAsia="仿宋_GB2312"/>
                <w:color w:val="000000"/>
              </w:rPr>
              <w:t>七、拟投入本项目的费用测算</w:t>
            </w:r>
          </w:p>
          <w:p>
            <w:pPr>
              <w:pStyle w:val="null3"/>
            </w:pPr>
            <w:r>
              <w:rPr>
                <w:rFonts w:ascii="仿宋_GB2312" w:hAnsi="仿宋_GB2312" w:cs="仿宋_GB2312" w:eastAsia="仿宋_GB2312"/>
                <w:color w:val="000000"/>
              </w:rPr>
              <w:t>本次采购预算32.2596万元，包括：管理、服务人员工资、社会保险、福利待遇、税金等所有费用。</w:t>
            </w:r>
          </w:p>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大荔县妇幼保健计划生育服务中心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（1）分期验收：每服务满3个月后次月初甲方根据招标文件服务要求内容及乙方投标文件承诺内容，组织相关人员进行验收，确认服务标准和服务方式是否达到采购要求。 （2）甲方每月组织相关病区、科室对保安服务质量等进行满意度测评，满意度测评以85%为合格，满意度测评80%-84%扣款300元;满意度测评80%以下扣款500元;满意度小于70%即违约，院方可随时终止合同。 （3）甲方根据满意度测评结果提出整改意见，乙方在甲方规定时限内完成整改内容，达到甲方满意。 （4）人员标准 ①所有保安人员必须持有保安员证书，身体健康状况和外貌形象是否符合岗位要求； ②人员配置按照招标文件规定要求验收； （5）服务内容要求标准 ①门卫值守标准:达到安全、秩序有序； ②车辆管理标准：交通引导有序，停放有序； ③安全巡逻，每天最少不少于4次，检测巡逻记录； ④重点部位、安检、监控室按照GA/594《安保服务操程与质量控制》标准验收； （6）装备标准按照招标文件配置验收； （7）应急处置按安全应急方案标准验收；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分期付款，分四次付款，第一次付款：服务满3个月后，经主管部门考核合格后支付合同总款的25%。</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第二次付款：服务满6个月后，经主管部门考核合格后支付合同总款的25%。</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第三次付款：服务满9个月后，经主管部门考核合格后支付合同总款的25%。</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第四次付款：服务满12个月后，经主管部门考核合格后支付合同总款的25%。</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（2）供应商未按合同要求提供服务或服务质量不能满足合同要求，院方有权依据《民法典》有关条款及合同约定终止合同。 （3）未经院方同意，供应商不得擅自将合同服务转包第三方承担，如违反擅自转包，院方有权终止合同，且供应商须向院方支付合同总价10%的违约金。 （4）凡与本合同有关的一切争议，双方应通过友好协商解决。如协商后仍不能达成协议时，可以提交大荔仲裁委员会或依法向院方所在地有管辖权的人民法院提起诉讼解决。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提供2024年度完整审计报告，成立时间至提交磋商响应文件截止时间不足1年的提供磋商前一个月内基本存款账户开户银行出具的资信证明。2.提供已缴纳的2025年4月以来至少1个月的纳税证明或完税证明（任意税种），依法免税的供应商应提供相关证明材料。3.提供2025年4月以来至少1个月的社会保障资金缴存单据或社保机构开具的社会保险参保缴费情况证明，依法不需要缴纳社会保障资金的供应商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在中华人民共和国境内注册、具有独立民事责任能力的法人、其他组织或自然人，具备从事本采购项目的经营范围和能力，提供合法有效的企业营业执照、法人证书或登记证书。</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提供法定代表人授权书（附法定代表人有效身份证复印件和被授权人有效身份证复印件，法定代表人直接参加只须提供法定代表人有效身份证复印件）。</w:t>
            </w:r>
          </w:p>
        </w:tc>
        <w:tc>
          <w:tcPr>
            <w:tcW w:type="dxa" w:w="1661"/>
          </w:tcPr>
          <w:p>
            <w:pPr>
              <w:pStyle w:val="null3"/>
            </w:pPr>
            <w:r>
              <w:rPr>
                <w:rFonts w:ascii="仿宋_GB2312" w:hAnsi="仿宋_GB2312" w:cs="仿宋_GB2312" w:eastAsia="仿宋_GB2312"/>
              </w:rPr>
              <w:t>供应商应提交的相关资格证明材料 资格证明文件.docx 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政策落实要求</w:t>
            </w:r>
          </w:p>
        </w:tc>
        <w:tc>
          <w:tcPr>
            <w:tcW w:type="dxa" w:w="3322"/>
          </w:tcPr>
          <w:p>
            <w:pPr>
              <w:pStyle w:val="null3"/>
            </w:pPr>
            <w:r>
              <w:rPr>
                <w:rFonts w:ascii="仿宋_GB2312" w:hAnsi="仿宋_GB2312" w:cs="仿宋_GB2312" w:eastAsia="仿宋_GB2312"/>
              </w:rPr>
              <w:t>本项目为专门面向中小企业项目，供应商应为中型企业或小型、微型企业或监狱企业或残疾人福利性单位。供应商为中小企业的，提供《中小企业声明函》，且中小企业的划分标准为采购文件中明确的所属行业；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残疾人福利性单位声明函 中小企业声明函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响应函 资格证明文件.docx 相关承诺书.docx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无违法失信查询结果并加盖公章）同时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相关承诺书.docx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均按磋商文件要求签章（评分标准中要求提供的证明材料除外）。</w:t>
            </w:r>
          </w:p>
        </w:tc>
        <w:tc>
          <w:tcPr>
            <w:tcW w:type="dxa" w:w="1661"/>
          </w:tcPr>
          <w:p>
            <w:pPr>
              <w:pStyle w:val="null3"/>
            </w:pPr>
            <w:r>
              <w:rPr>
                <w:rFonts w:ascii="仿宋_GB2312" w:hAnsi="仿宋_GB2312" w:cs="仿宋_GB2312" w:eastAsia="仿宋_GB2312"/>
              </w:rPr>
              <w:t>类似业绩的有关证明材料.docx 服务内容及服务邀请应答表 中小企业声明函 商务应答表 供应商应提交的相关资格证明材料 商务条款响应偏离表.docx 资格证明文件.docx 相关承诺书.docx 法定代表人授权书.docx 响应文件封面 所需专业器具（设备）安排表.docx 拟投入本项目人员力量配备.docx 应急处理预案.docx 残疾人福利性单位声明函 服务响应偏离表.docx 服务方案 标的清单 响应函 监狱企业的证明文件 补充说明的事宜.docx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第一次磋商报价</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（3）第一次磋商报价未超出采购预算或磋商文件规定的最高限价； （4）第一次磋商报价报价没有与市场价偏差较大、低于成本、可能影响货物质量或不能诚信履约。</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根据供应商响应文件《服务要求响应偏差表》，结合竞争性磋商文件第三部分内容实质性要求</w:t>
            </w:r>
          </w:p>
        </w:tc>
        <w:tc>
          <w:tcPr>
            <w:tcW w:type="dxa" w:w="1661"/>
          </w:tcPr>
          <w:p>
            <w:pPr>
              <w:pStyle w:val="null3"/>
            </w:pPr>
            <w:r>
              <w:rPr>
                <w:rFonts w:ascii="仿宋_GB2312" w:hAnsi="仿宋_GB2312" w:cs="仿宋_GB2312" w:eastAsia="仿宋_GB2312"/>
              </w:rPr>
              <w:t>响应文件封面 服务内容及服务邀请应答表 服务响应偏离表.docx 商务应答表 商务条款响应偏离表.docx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合同草案条款响应</w:t>
            </w:r>
          </w:p>
        </w:tc>
        <w:tc>
          <w:tcPr>
            <w:tcW w:type="dxa" w:w="3322"/>
          </w:tcPr>
          <w:p>
            <w:pPr>
              <w:pStyle w:val="null3"/>
            </w:pPr>
            <w:r>
              <w:rPr>
                <w:rFonts w:ascii="仿宋_GB2312" w:hAnsi="仿宋_GB2312" w:cs="仿宋_GB2312" w:eastAsia="仿宋_GB2312"/>
              </w:rPr>
              <w:t>有完全理解并接受磋商文件合同草案条款要求的描述。</w:t>
            </w:r>
          </w:p>
        </w:tc>
        <w:tc>
          <w:tcPr>
            <w:tcW w:type="dxa" w:w="1661"/>
          </w:tcPr>
          <w:p>
            <w:pPr>
              <w:pStyle w:val="null3"/>
            </w:pPr>
            <w:r>
              <w:rPr>
                <w:rFonts w:ascii="仿宋_GB2312" w:hAnsi="仿宋_GB2312" w:cs="仿宋_GB2312" w:eastAsia="仿宋_GB2312"/>
              </w:rPr>
              <w:t>响应文件封面 服务响应偏离表.docx 商务条款响应偏离表.docx 补充说明的事宜.docx 相关承诺书.docx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响应文件封面 所需专业器具（设备）安排表.docx 服务响应偏离表.docx 商务条款响应偏离表.docx 补充说明的事宜.docx 相关承诺书.docx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安保服务整体方案</w:t>
            </w:r>
          </w:p>
        </w:tc>
        <w:tc>
          <w:tcPr>
            <w:tcW w:type="dxa" w:w="2492"/>
          </w:tcPr>
          <w:p>
            <w:pPr>
              <w:pStyle w:val="null3"/>
            </w:pPr>
            <w:r>
              <w:rPr>
                <w:rFonts w:ascii="仿宋_GB2312" w:hAnsi="仿宋_GB2312" w:cs="仿宋_GB2312" w:eastAsia="仿宋_GB2312"/>
              </w:rPr>
              <w:t>一、评审内容：供应商提供针对于本项目的安保服务方案，方案内容包含 1、服务目标及计划安排； 2、服务重难点分析及解决方案； 3、服务内容及措施； 4、进退场交接方案； 5、服务理念及特色。 二、评审标准 1 、完整性：方案须详细全面，表述清晰完整，完全满足磋商文件要求； 2 、可实施性：切合本项目实际情况，实施步骤清晰、合理； 3、针对性：方案能够紧扣项目实际情况，内容科学合理。 三、赋分标准 上述5项评审内容无缺项、漏项且无缺陷的得10分，其中每有一项内容存在缺项或漏项的扣2分，每有一处评审内容存在缺陷，扣1分，该项分值扣完为止，未提供不得分。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应急处理预案.docx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商务条款响应偏离表.docx</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门岗管理服务方案</w:t>
            </w:r>
          </w:p>
        </w:tc>
        <w:tc>
          <w:tcPr>
            <w:tcW w:type="dxa" w:w="2492"/>
          </w:tcPr>
          <w:p>
            <w:pPr>
              <w:pStyle w:val="null3"/>
            </w:pPr>
            <w:r>
              <w:rPr>
                <w:rFonts w:ascii="仿宋_GB2312" w:hAnsi="仿宋_GB2312" w:cs="仿宋_GB2312" w:eastAsia="仿宋_GB2312"/>
              </w:rPr>
              <w:t>一、评审内容 针对本项目提出门岗管理服务方案，内容包括 1、门卫安全防范工作规范； 2、门卫安全管理制度； 3、保安队安全管理制度； 4、巡逻管理及设备管理。 5、车辆交通管理方案； 二、评审标准 1、完善性：方案必须全面，对评审内容中的各项要求有详细阐述； 2、可实施性：切合本项目实际情况，提出步骤清晰、合理的方案； 3、针对性：方案能够紧扣项目实际情况，内容科学合理。 三、赋分标准 上述5项评审内容无缺项、漏项且无缺陷的得10分，其中每有一项内容存在缺项或漏项的扣2分，每有一处评审内容存在缺陷，扣1分，该项分值扣完为止，未提供不得分。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相关承诺书.docx</w:t>
            </w:r>
          </w:p>
        </w:tc>
      </w:tr>
      <w:tr>
        <w:tc>
          <w:tcPr>
            <w:tcW w:type="dxa" w:w="831"/>
            <w:vMerge/>
          </w:tcPr>
          <w:p/>
        </w:tc>
        <w:tc>
          <w:tcPr>
            <w:tcW w:type="dxa" w:w="1661"/>
          </w:tcPr>
          <w:p>
            <w:pPr>
              <w:pStyle w:val="null3"/>
            </w:pPr>
            <w:r>
              <w:rPr>
                <w:rFonts w:ascii="仿宋_GB2312" w:hAnsi="仿宋_GB2312" w:cs="仿宋_GB2312" w:eastAsia="仿宋_GB2312"/>
              </w:rPr>
              <w:t>特定区域服务方案</w:t>
            </w:r>
          </w:p>
        </w:tc>
        <w:tc>
          <w:tcPr>
            <w:tcW w:type="dxa" w:w="2492"/>
          </w:tcPr>
          <w:p>
            <w:pPr>
              <w:pStyle w:val="null3"/>
            </w:pPr>
            <w:r>
              <w:rPr>
                <w:rFonts w:ascii="仿宋_GB2312" w:hAnsi="仿宋_GB2312" w:cs="仿宋_GB2312" w:eastAsia="仿宋_GB2312"/>
              </w:rPr>
              <w:t>一、评审内容 针对本项目提供特定区域安保服务方案，内容包括 1、急诊科、门诊大厅、结算大厅、疫苗接种大厅等人员密集的候诊大厅的安保方案； 2、监控中心管理规范。 二、评审标准 1、完善性：方案必须全面，对评审内容中的各项要求有详细阐述； 2、可实施性：切合本项目实际情况，提出步骤清晰、合理的方案； 3、针对性：方案能够紧扣项目实际情况，内容科学合理。 三、赋分标准 上述2项评审内容无缺项、漏项且无缺陷的得4分，其中每有一项内容存在缺项或漏项的扣2分，每有一处评审内容存在缺陷，扣1分，该项分值扣完为止，未提供不得分。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服务响应偏离表.docx</w:t>
            </w:r>
          </w:p>
          <w:p>
            <w:pPr>
              <w:pStyle w:val="null3"/>
            </w:pPr>
            <w:r>
              <w:rPr>
                <w:rFonts w:ascii="仿宋_GB2312" w:hAnsi="仿宋_GB2312" w:cs="仿宋_GB2312" w:eastAsia="仿宋_GB2312"/>
              </w:rPr>
              <w:t>商务条款响应偏离表.docx</w:t>
            </w:r>
          </w:p>
          <w:p>
            <w:pPr>
              <w:pStyle w:val="null3"/>
            </w:pPr>
            <w:r>
              <w:rPr>
                <w:rFonts w:ascii="仿宋_GB2312" w:hAnsi="仿宋_GB2312" w:cs="仿宋_GB2312" w:eastAsia="仿宋_GB2312"/>
              </w:rPr>
              <w:t>所需专业器具（设备）安排表.docx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保障应急措施</w:t>
            </w:r>
          </w:p>
        </w:tc>
        <w:tc>
          <w:tcPr>
            <w:tcW w:type="dxa" w:w="2492"/>
          </w:tcPr>
          <w:p>
            <w:pPr>
              <w:pStyle w:val="null3"/>
            </w:pPr>
            <w:r>
              <w:rPr>
                <w:rFonts w:ascii="仿宋_GB2312" w:hAnsi="仿宋_GB2312" w:cs="仿宋_GB2312" w:eastAsia="仿宋_GB2312"/>
              </w:rPr>
              <w:t>一、评审内容 针对本项目的应急方案 , 方案内容包含： 1、突发公共卫生（自然灾害）事件安保应急方案； 2、大型集会活动安保应急预案； 3、医疗纠纷安保应急处置预案； 4、安保防控应急演练方案。 二、评审标准 1、完善性：方案必须全面，对评审内容中的各项要求有详细阐述； 2、可实施性：切合本项目实际情况，提出步骤清晰、合理的方案； 3、针对性：方案能够紧扣项目实际情况，内容科学合理。 三、赋分标准 上述4项评审内容无缺项、漏项且无缺陷的得12分，其中每有一项内容存在缺项或漏项的扣3分，每有一处评审内容存在缺陷，扣1分，该项分值扣完为止，未提供不得分。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服务响应偏离表.docx</w:t>
            </w:r>
          </w:p>
          <w:p>
            <w:pPr>
              <w:pStyle w:val="null3"/>
            </w:pPr>
            <w:r>
              <w:rPr>
                <w:rFonts w:ascii="仿宋_GB2312" w:hAnsi="仿宋_GB2312" w:cs="仿宋_GB2312" w:eastAsia="仿宋_GB2312"/>
              </w:rPr>
              <w:t>应急处理预案.docx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1、有针对本项目的专业服务团队，人员配备数量充足，各类人员配备齐全、满足项目要求； 2、人员组织结构合理，有明确的岗位职责; 3、项目负责人和安保队长提供三年及以上管理经验证明材料,年龄均≤50周岁。(项目负责人和队长须提供管理工作证明文件或被服务单位加盖公章的证明材料,不提供不得分，退伍军人优先，需提供退役军人优待证或退役军人证书.) 4、所有安保人员均持有保安员证书。 二、评审标准 1、完善性：方案必须全面，对评审内容中的各项要求有详细阐述； 2、可实施性：切合本项目实际情况，提出步骤清晰、合理的方案； 3、针对性：方案能够紧扣项目实际情况，内容科学合理。 三、赋分标准 上述4项评审内容无缺项、漏项且无缺陷的得12分，其中每有一项内容存在缺项或漏项的扣3分，每有一处评审内容存在缺陷，扣1分，该项分值扣完为止，未提供不得分。退伍军人优先，每提供1名加0.5分，最高加分2分；人员配置每超出总人数1名加1分，最高加分2分，人员配置满分12分。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服务响应偏离表.docx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拟投入本项目人员力量配备.docx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针对本项目具有良好的管理制度,制度内容包括 1、岗位职责:具有岗位工作标准、服务质量标准、作业流程及作业记录； 2、内控制度：具有管理组织机构、问责机制、监督机制、自查制度； 3、人员管理制度：具有员工日常管理办法、请销假制度、奖惩制度、激励机制、仪容仪表制度； 4、档案管理制度：档案收集、分类、归档等。 二、评审标准 1、完善性：方案必须全面，对评审内容中的各项要求有详细阐述； 2、可实施性：切合本项目实际情况，提出步骤清晰、合理的方案； 3、针对性：方案能够紧扣项目实际情况，内容科学合理。 三、赋分标准 上述4项评审内容无缺项、漏项且无缺陷的得12分，其中每有一项内容存在缺项或漏项的扣3分，每有一处评审内容存在缺陷，扣1分，该项分值扣完为止，未提供不得分。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服务响应偏离表.docx</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根据本项目制定详细、可行的培训考核方案，保证上岗人员的专业素质、服务质量符合采购人要求，方案内容包括 1、岗前培训； 2、定期常态化培训; 3、培训后的成果验收和考核。 二、评审标准 1、完善性：方案必须全面，对评审内容中的各项要求有详细阐述； 2、可实施性：切合本项目实际情况，提出步骤清晰、合理的方案； 3、针对性：方案能够紧扣项目实际情况，内容科学合理。 三、赋分标准 上述3项评审内容无缺项、漏项且无缺陷的得6分，其中每有一项内容存在缺项或漏项的扣2分，每有一处评审内容存在缺陷，扣1分，该项分值扣完为止，未提供不得分。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拟投入本项目人员力量配备.docx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供应商提供2022年10月至今类似项目业绩合同（以合同签订时间为准）；一个业绩得1分，最高得4分； 评审依据：提供完整合同复印件并加盖公章。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类似业绩的有关证明材料.docx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磋商报价得分=(磋商基准价／最终磋商报价)×价格权值×100 高于预算价的为无效报价。 注：因落实政府采购政策进行价格调整的，以调整后的价格计算磋商基准价和磋商报价。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详见附件：补充说明的事宜.docx</w:t>
      </w:r>
    </w:p>
    <w:p>
      <w:pPr>
        <w:pStyle w:val="null3"/>
        <w:ind w:firstLine="960"/>
      </w:pPr>
      <w:r>
        <w:rPr>
          <w:rFonts w:ascii="仿宋_GB2312" w:hAnsi="仿宋_GB2312" w:cs="仿宋_GB2312" w:eastAsia="仿宋_GB2312"/>
        </w:rPr>
        <w:t>详见附件：服务响应偏离表.docx</w:t>
      </w:r>
    </w:p>
    <w:p>
      <w:pPr>
        <w:pStyle w:val="null3"/>
        <w:ind w:firstLine="960"/>
      </w:pPr>
      <w:r>
        <w:rPr>
          <w:rFonts w:ascii="仿宋_GB2312" w:hAnsi="仿宋_GB2312" w:cs="仿宋_GB2312" w:eastAsia="仿宋_GB2312"/>
        </w:rPr>
        <w:t>详见附件：拟投入本项目人员力量配备.docx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详见附件：所需专业器具（设备）安排表.docx</w:t>
      </w:r>
    </w:p>
    <w:p>
      <w:pPr>
        <w:pStyle w:val="null3"/>
        <w:ind w:firstLine="960"/>
      </w:pPr>
      <w:r>
        <w:rPr>
          <w:rFonts w:ascii="仿宋_GB2312" w:hAnsi="仿宋_GB2312" w:cs="仿宋_GB2312" w:eastAsia="仿宋_GB2312"/>
        </w:rPr>
        <w:t>详见附件：相关承诺书.docx</w:t>
      </w:r>
    </w:p>
    <w:p>
      <w:pPr>
        <w:pStyle w:val="null3"/>
        <w:ind w:firstLine="960"/>
      </w:pPr>
      <w:r>
        <w:rPr>
          <w:rFonts w:ascii="仿宋_GB2312" w:hAnsi="仿宋_GB2312" w:cs="仿宋_GB2312" w:eastAsia="仿宋_GB2312"/>
        </w:rPr>
        <w:t>详见附件：应急处理预案.docx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详见附件：类似业绩的有关证明材料.docx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