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版本号：HRC-ZBDL-2025-0167820251107001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大荔县同州新区学校及城郊中学设施设备采购项目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HRC-ZBDL-2025-01678</w:t>
      </w:r>
      <w:r>
        <w:br/>
      </w:r>
      <w:r>
        <w:br/>
      </w:r>
      <w:r>
        <w:br/>
      </w:r>
    </w:p>
    <w:p>
      <w:pPr>
        <w:pStyle w:val="null3"/>
        <w:jc w:val="center"/>
        <w:outlineLvl w:val="2"/>
      </w:pPr>
      <w:r>
        <w:rPr>
          <w:rFonts w:ascii="仿宋_GB2312" w:hAnsi="仿宋_GB2312" w:cs="仿宋_GB2312" w:eastAsia="仿宋_GB2312"/>
          <w:sz w:val="28"/>
          <w:b/>
        </w:rPr>
        <w:t>大荔县教育体育局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大荔县教育体育局</w:t>
      </w:r>
      <w:r>
        <w:rPr>
          <w:rFonts w:ascii="仿宋_GB2312" w:hAnsi="仿宋_GB2312" w:cs="仿宋_GB2312" w:eastAsia="仿宋_GB2312"/>
        </w:rPr>
        <w:t>委托，拟对</w:t>
      </w:r>
      <w:r>
        <w:rPr>
          <w:rFonts w:ascii="仿宋_GB2312" w:hAnsi="仿宋_GB2312" w:cs="仿宋_GB2312" w:eastAsia="仿宋_GB2312"/>
        </w:rPr>
        <w:t>大荔县同州新区学校及城郊中学设施设备采购项目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HRC-ZBDL-2025-01678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大荔县同州新区学校及城郊中学设施设备采购项目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购置学生课桌凳、智慧黑板、空调、电脑、办公家具、厨房设备、体育器材、图书、校园广播、监控、各类部室等设备。城郊中学：购置智慧黑板、空调、考点会议办公桌椅等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1、特殊资格要求：1）供应商不得为“信用中国”网站（www.cred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陕西省大荔县北大街36号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谢振国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0913-3266019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0913-3581777/15191338837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采购包1：4,274,048.00元</w:t>
            </w:r>
          </w:p>
          <w:p>
            <w:pPr>
              <w:pStyle w:val="null3"/>
            </w:pPr>
            <w:r>
              <w:rPr>
                <w:rFonts w:ascii="仿宋_GB2312" w:hAnsi="仿宋_GB2312" w:cs="仿宋_GB2312" w:eastAsia="仿宋_GB2312"/>
              </w:rPr>
              <w:t>采购包2：4,780,361.00元</w:t>
            </w:r>
          </w:p>
          <w:p>
            <w:pPr>
              <w:pStyle w:val="null3"/>
            </w:pPr>
            <w:r>
              <w:rPr>
                <w:rFonts w:ascii="仿宋_GB2312" w:hAnsi="仿宋_GB2312" w:cs="仿宋_GB2312" w:eastAsia="仿宋_GB2312"/>
              </w:rPr>
              <w:t>采购包3：5,021,372.00元</w:t>
            </w:r>
          </w:p>
          <w:p>
            <w:pPr>
              <w:pStyle w:val="null3"/>
            </w:pPr>
            <w:r>
              <w:rPr>
                <w:rFonts w:ascii="仿宋_GB2312" w:hAnsi="仿宋_GB2312" w:cs="仿宋_GB2312" w:eastAsia="仿宋_GB2312"/>
              </w:rPr>
              <w:t>采购包4：2,747,219.00元</w:t>
            </w:r>
          </w:p>
          <w:p>
            <w:pPr>
              <w:pStyle w:val="null3"/>
            </w:pPr>
            <w:r>
              <w:rPr>
                <w:rFonts w:ascii="仿宋_GB2312" w:hAnsi="仿宋_GB2312" w:cs="仿宋_GB2312" w:eastAsia="仿宋_GB2312"/>
              </w:rPr>
              <w:t>采购包5：782,732.00元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以本采购包项目中标价为基数，按国家计委关于印发《磋商代理服务收费管理暂行办法》的通知（计价格【2002】1980号）《国家发展改革委关于降低部分建设项目收费标准规范收费行为等有关问题的通知》（发改价格[2011]534号）规定计取招标代理服务费。 2、支付方式：中标人应在领取通知书的同时，支付本项目代理服务费。 收款单位：华睿诚项目管理有限公司 开户行：西安银行小寨东路支行 账号：816011580000101224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联系电话：0913-3581777/15191338837</w:t>
      </w:r>
    </w:p>
    <w:p>
      <w:pPr>
        <w:pStyle w:val="null3"/>
      </w:pPr>
      <w:r>
        <w:rPr>
          <w:rFonts w:ascii="仿宋_GB2312" w:hAnsi="仿宋_GB2312" w:cs="仿宋_GB2312" w:eastAsia="仿宋_GB2312"/>
        </w:rPr>
        <w:t>地址：华睿诚项目管理有限公司（大荔项目部)</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购置学生课桌凳、智慧黑板、空调、电脑、办公家具、厨房设备、体育器材、图书、校园广播、监控、各类部室等设备。城郊中学：购置智慧黑板、空调、考点会议办公桌椅等。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4,274,048.00</w:t>
      </w:r>
    </w:p>
    <w:p>
      <w:pPr>
        <w:pStyle w:val="null3"/>
      </w:pPr>
      <w:r>
        <w:rPr>
          <w:rFonts w:ascii="仿宋_GB2312" w:hAnsi="仿宋_GB2312" w:cs="仿宋_GB2312" w:eastAsia="仿宋_GB2312"/>
        </w:rPr>
        <w:t>采购包最高限价（元）: 4,274,048.00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网络监控广播及信息化部室（同州新区学校）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4,274,048.00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4,780,361.00</w:t>
      </w:r>
    </w:p>
    <w:p>
      <w:pPr>
        <w:pStyle w:val="null3"/>
      </w:pPr>
      <w:r>
        <w:rPr>
          <w:rFonts w:ascii="仿宋_GB2312" w:hAnsi="仿宋_GB2312" w:cs="仿宋_GB2312" w:eastAsia="仿宋_GB2312"/>
        </w:rPr>
        <w:t>采购包最高限价（元）: 4,780,361.00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教学设备及报告厅（同州新区学校）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4,780,361.00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5,021,372.00</w:t>
      </w:r>
    </w:p>
    <w:p>
      <w:pPr>
        <w:pStyle w:val="null3"/>
      </w:pPr>
      <w:r>
        <w:rPr>
          <w:rFonts w:ascii="仿宋_GB2312" w:hAnsi="仿宋_GB2312" w:cs="仿宋_GB2312" w:eastAsia="仿宋_GB2312"/>
        </w:rPr>
        <w:t>采购包最高限价（元）: 5,021,372.00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办公设备、图书及部室（同州新区学校）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5,021,372.00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2,747,219.00</w:t>
      </w:r>
    </w:p>
    <w:p>
      <w:pPr>
        <w:pStyle w:val="null3"/>
      </w:pPr>
      <w:r>
        <w:rPr>
          <w:rFonts w:ascii="仿宋_GB2312" w:hAnsi="仿宋_GB2312" w:cs="仿宋_GB2312" w:eastAsia="仿宋_GB2312"/>
        </w:rPr>
        <w:t>采购包最高限价（元）: 2,747,219.00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厨房设备、窗帘、体育器材（同州新区学校）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2,747,219.00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782,732.00</w:t>
      </w:r>
    </w:p>
    <w:p>
      <w:pPr>
        <w:pStyle w:val="null3"/>
      </w:pPr>
      <w:r>
        <w:rPr>
          <w:rFonts w:ascii="仿宋_GB2312" w:hAnsi="仿宋_GB2312" w:cs="仿宋_GB2312" w:eastAsia="仿宋_GB2312"/>
        </w:rPr>
        <w:t>采购包最高限价（元）: 782,732.00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智慧黑板、线路改造及空调（城郊中学）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782,732.00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标的名称：网络监控广播及信息化部室（同州新区学校）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标的名称：教学设备及报告厅（同州新区学校）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标的名称：办公设备、图书及部室（同州新区学校）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标的名称：厨房设备、窗帘、体育器材（同州新区学校）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标的名称：智慧黑板、线路改造及空调（城郊中学）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30天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30天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大荔县同州新区学校及城郊中学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大荔县同州新区学校及城郊中学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大荔县同州新区学校及城郊中学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大荔县同州新区学校及城郊中学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大荔县同州新区学校及城郊中学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签订合同后，货物进场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签订合同后，货物进场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签订合同后，货物进场</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结算审核完成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验收方案 （1）、验收目的 确保采购的设施设备符合合同约定的技术、质量、性能等要求，保障设备正常运行，为后续使用和维护提供依据。 （2）、验收对象 本次采购的设施设备及相关技术资料、配件等。 (3)、验收前提条件 供应商已完成设备生产、安装调试，设备具备验收条件。 设备相关技术资料（如说明书、合格证、检测报告等）齐全。 满足采购合同中约定的其他验收条件。 (4)、验收方式 联合验收：邀请供应商、财政部门、技术专家等共同参与验收。 (5）、验收步骤 1成立验收小组 成员包括采购方代表、技术专家、使用部门人员、第三方检测机构人员（如有）。明确各成员职责，制定验收计划。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(6）、验收依据 采购合同及技术规格书。 国家相关标准、行业规范。 设备制造商提供的技术资料和检测报告。 (7)、验收结论 验收合格：设备符合合同要求，可投入使用。 验收不合格：供应商需在规定时间内整改，整改后重新验收。 (8)、项目交接 验收合格后，采购方与供应商办理设备交接手续，移交设备及相关资料。 (9)、验收资料存档 将验收过程中的所有资料（如验收报告、检测数据、整改记录等）整理归档，保存备查。 注意事项： 验收过程中发现的问题应及时记录，明确责任方和整改期限。 对于重大问题或争议，可邀请第三方机构或专家进行评估。 验收完成后，采购方应按照合同约定支付款项。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验收方案 一、验收目的 确保采购的设施设备符合合同约定的技术、质量、性能等要求，保障设备正常运行，为后续使用和维护提供依据。 二、验收对象 本次采购的设施设备及相关技术资料、配件等。 三、验收前提条件 供应商已完成设备生产、安装调试，设备具备验收条件。 设备相关技术资料（如说明书、合格证、检测报告等）齐全。 满足采购合同中约定的其他验收条件。 四、验收方式 联合验收：邀请供应商、财政部门、技术专家等共同参与验收。 五、验收步骤 1成立验收小组 成员包括采购方代表、技术专家、财政部门人员、第三方检测机构人员（如有）。明确各成员职责，制定验收计划。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六、验收依据 采购合同及技术规格书。 国家相关标准、行业规范。 设备制造商提供的技术资料和检测报告。 七、验收结论 验收合格：设备符合合同要求，可投入使用。 验收不合格：供应商需在规定时间内整改，整改后重新验收。 八、项目交接 验收合格后，采购方与供应商办理设备交接手续，移交设备及相关资料。 九、验收资料存档 将验收过程中的所有资料（如验收报告、检测数据、整改记录等）整理归档，保存备查。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验收方案 一、验收目的 确保采购的设施设备符合合同约定的技术、质量、性能等要求，保障设备正常运行，为后续使用和维护提供依据。 二、验收对象 本次采购的设施设备及相关技术资料、配件等。 三、验收前提条件 供应商已完成设备生产、安装调试，设备具备验收条件。 设备相关技术资料（如说明书、合格证、检测报告等）齐全。 满足采购合同中约定的其他验收条件。 四、验收方式 联合验收：邀请供应商、财政部门、技术专家等共同参与验收。 五、验收步骤 1成立验收小组 成员包括采购方代表、技术专家、财政部门人员、第三方检测机构人员（如有）。明确各成员职责，制定验收计划。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六、验收依据 采购合同及技术规格书。 国家相关标准、行业规范。 设备制造商提供的技术资料和检测报告。 七、验收结论 验收合格：设备符合合同要求，可投入使用。 验收不合格：供应商需在规定时间内整改，整改后重新验收。 八、项目交接 验收合格后，采购方与供应商办理设备交接手续，移交设备及相关资料。 九、验收资料存档 将验收过程中的所有资料（如验收报告、检测数据、整改记录等）整理归档，保存备查。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验收方案 一、验收目的 确保采购的设施设备符合合同约定的技术、质量、性能等要求，保障设备正常运行，为后续使用和维护提供依据。 二、验收对象 本次采购的设施设备及相关技术资料、配件等。 三、验收前提条件 供应商已完成设备生产、安装调试，设备具备验收条件。 设备相关技术资料（如说明书、合格证、检测报告等）齐全。 满足采购合同中约定的其他验收条件。 四、验收方式 联合验收：邀请供应商、财政部门、技术专家等共同参与验收。 五、验收步骤 1成立验收小组 成员包括采购方代表、技术专家、财政部门人员、第三方检测机构人员（如有）。明确各成员职责，制定验收计划。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六、验收依据 采购合同及技术规格书。 国家相关标准、行业规范。 设备制造商提供的技术资料和检测报告。 七、验收结论 验收合格：设备符合合同要求，可投入使用。 验收不合格：供应商需在规定时间内整改，整改后重新验收。 八、项目交接 验收合格后，采购方与供应商办理设备交接手续，移交设备及相关资料。 九、验收资料存档 将验收过程中的所有资料（如验收报告、检测数据、整改记录等）整理归档，保存备查。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验收方案 一、验收目的 确保采购的设施设备符合合同约定的技术、质量、性能等要求，保障设备正常运行，为后续使用和维护提供依据。 二、验收对象 本次采购的设施设备及相关技术资料、配件等。 三、验收前提条件 供应商已完成设备生产、安装调试，设备具备验收条件。 设备相关技术资料（如说明书、合格证、检测报告等）齐全。 满足采购合同中约定的其他验收条件。 四、验收方式 联合验收：邀请供应商、财政部门、技术专家等共同参与验收。 五、验收步骤 1成立验收小组 成员包括采购方代表、技术专家、财政部门人员、第三方检测机构人员（如有）。明确各成员职责，制定验收计划。 2开箱验收 检查设备外包装是否完好，有无破损、受潮等情况。 核对设备型号、规格、数量与合同是否一致。 清点随机附件、工具、技术资料等是否齐全。 3安装调试验收 供应商负责设备安装调试，采购方监督。 检查设备安装是否符合技术要求，连接是否牢固。 进行空载和负载试运行，测试设备性能是否稳定，各项指标是否达到合同约定。 4技术性能验收 根据合同技术规格书，对设备的精度、效率、可靠性等进行检测。 使用专业检测工具或仪器进行测试，记录检测数据。 对设备的软件系统、控制系统等进行功能验证。 5安全与环保验收 检查设备安全防护装置是否齐全有效，如防护栏、安全阀、漏电保护等。 检测设备运行时的噪音、振动、排放等是否符合环保要求。 6资料验收 审核设备的技术资料，包括说明书、操作手册、维修手册、检测报告等。检查资料是否完整、准确，是否符合国家标准和行业规范。 7出具验收报告 验收小组根据验收结果，填写验收报告，注明各项验收情况及结论。 验收合格的，双方签字确认；不合格的，列出问题清单，要求供应商限期整改。 六、验收依据 采购合同及技术规格书。 国家相关标准、行业规范。 设备制造商提供的技术资料和检测报告。 七、验收结论 验收合格：设备符合合同要求，可投入使用。 验收不合格：供应商需在规定时间内整改，整改后重新验收。 八、项目交接 验收合格后，采购方与供应商办理设备交接手续，移交设备及相关资料。 九、验收资料存档 将验收过程中的所有资料（如验收报告、检测数据、整改记录等）整理归档，保存备查。</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采购包1核心产品：所有交换机 采购包2核心产品：智慧黑板 采购包3核心产品：办公电脑 采购包4核心产品：空调 采购包5核心产品：智慧黑板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供有效的营业执照等证明文件，非法人单位参照执行，自然人提供身份证明）；2) 有依法缴纳税收和社会保障资金的 良好记录：税收缴纳证明：提供投标文件提交截止时间前近半年内任 意一月已缴纳的纳税证明或完税证明，依法免税或不需要缴纳税收的供应商应提供相关证明文件；社保缴纳证明：提供投标文件提交截止时间前近半年内任意一月已缴存的社会保障资金缴费证明或参保证明，依法 不需要缴纳社会保障资金的供应商 应提供相关证明文件；3)具有履行 合同所必需的设备和专业技术能力 （提供承诺函）；4)参加政府采购 活动前三年内，在经营活动中没有 重大违法记录（提供书面声明）；5) 法律、行政法规规定的其他条件（提供承诺函）。供应商需在项目电子化交易系统中按要求填写《投标函》完成承诺并进行电子签章。供应商需在项目电子化交易系统中按要求填写《投标函》完成承诺并进行电子签章。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提供2024年度经审计的财务审计报告(成立时间至提交投标文件截止时间不足一年的可提供成立后任意时段的资产负债表)或开标时间前三个月内银行出具的资信证明）并进行电子签章。</w:t>
            </w:r>
          </w:p>
        </w:tc>
        <w:tc>
          <w:tcPr>
            <w:tcW w:type="dxa" w:w="1661"/>
          </w:tcPr>
          <w:p>
            <w:pPr>
              <w:pStyle w:val="null3"/>
            </w:pPr>
            <w:r>
              <w:rPr>
                <w:rFonts w:ascii="仿宋_GB2312" w:hAnsi="仿宋_GB2312" w:cs="仿宋_GB2312" w:eastAsia="仿宋_GB2312"/>
              </w:rPr>
              <w:t>相关资格审查资料.docx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1）供应商不得为“信用中国”网站（www.cred itchina.gov.cn）中列入失 信被执行人和重大税收违法失信主体的供应商，不得为中国政府采购网（www.ccgp.gov.cn）政 府采购严重违法失信行为记录名单中被财政部门禁止参加政府采购活动的供应商 （2）法定代表人被授权人参加的，须出具授权书（附法定代表人、被授权人身份证复印件） 及被授权人在本单位证明（提供开标前三个月内在本单位的社保缴纳记录）；法定代表人 参加投标需提供本人身份证（提供开标前三个月内在本单位的社保缴纳记录）</w:t>
            </w:r>
          </w:p>
        </w:tc>
        <w:tc>
          <w:tcPr>
            <w:tcW w:type="dxa" w:w="1661"/>
          </w:tcPr>
          <w:p>
            <w:pPr>
              <w:pStyle w:val="null3"/>
            </w:pPr>
            <w:r>
              <w:rPr>
                <w:rFonts w:ascii="仿宋_GB2312" w:hAnsi="仿宋_GB2312" w:cs="仿宋_GB2312" w:eastAsia="仿宋_GB2312"/>
              </w:rPr>
              <w:t>相关资格审查资料.docx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相关资格审查资料.docx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投标文件没有缺项</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相关资格审查资料.docx 标的清单 投标文件封面 技术规格偏离表.docx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商务要求响应表.docx 投标文件封面 技术规格偏离表.docx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报价唯一，未超过采购预算</w:t>
            </w:r>
          </w:p>
        </w:tc>
        <w:tc>
          <w:tcPr>
            <w:tcW w:type="dxa" w:w="1661"/>
          </w:tcPr>
          <w:p>
            <w:pPr>
              <w:pStyle w:val="null3"/>
            </w:pPr>
            <w:r>
              <w:rPr>
                <w:rFonts w:ascii="仿宋_GB2312" w:hAnsi="仿宋_GB2312" w:cs="仿宋_GB2312" w:eastAsia="仿宋_GB2312"/>
              </w:rPr>
              <w:t>开标一览表 分项报价表.docx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30分。其他投标单位的价格分统一按照下列公式计算：投标报价得分=(评标基准价／投标报价)×投标报价总分 （计算分数时四舍五入取小数点后两位）。 备注：评标委员会认为供应商的报价明显低于其他通过符合性审查供应商的报价，有可能影响产品质量或者不能诚信履约的，应当要求其在评标现场合理的时间内提供书面说明，必要时递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技术指标及功能配置</w:t>
            </w:r>
          </w:p>
        </w:tc>
        <w:tc>
          <w:tcPr>
            <w:tcW w:type="dxa" w:w="2492"/>
          </w:tcPr>
          <w:p>
            <w:pPr>
              <w:pStyle w:val="null3"/>
            </w:pPr>
            <w:r>
              <w:rPr>
                <w:rFonts w:ascii="仿宋_GB2312" w:hAnsi="仿宋_GB2312" w:cs="仿宋_GB2312" w:eastAsia="仿宋_GB2312"/>
              </w:rPr>
              <w:t>技术参数和性能指标全部满足采购文件要求或优于采购文件要求得基础分26分，其中“▲”项为重要参数，需提供佐证材料，未提供或提供内容不正确，按负偏离对待，每负偏离一项扣2分。非“▲”项负偏离一项扣0.5分。此项总分26分，扣完为止。 注：投标人提供相关技术指标的佐证材料，佐证材料包括但不限于检测报告、功能截图、产品说明等、彩页等相关资料予以证明其技术参数的响应性。</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产品属于《节能产品政府采购品目清单》内产品，提供有效期内的节能产品证书，属于《环境标志产品政府采购品目清单》内产品的，提供有效期内的环境标志产品证书，每提供1项得0.5分，最高得2分。（备注：以《中国政府采购网》颁布品目清单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投标供应商具有2022年06月01日至今任意时间段（以合同或协议签订时间为准）已完成的类似项目业绩，提供合同及中标通知书复印件加盖公章，每提供一份得1分（未按要求提供不计分）。本项最多5分。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所投产品进货渠道正规，无假货、水货、翻新货且无产权纠纷，产品符合国家行业标准，质量有保证。并提供所投产品相关证明材料（包括但不限于产品质量检测报告、原厂授权、官网截图、产品合格证书、生产厂家实力证明材料等）。每提供一个产品完善的技术资料得 1 分,满分 3 分。 2、提供质量保障承诺书，针对本项目提出切实可行的质量保障措施（包括但不限于质量管理体系统、原材料与供应链控制、产品质量控制等）。根据细致程度每项赋1分，满分 3 分。 备注：方案中存在缺陷的，每一项中每有1 处内容缺陷扣1 分，不相符扣0.5分，扣完为止，缺失的不得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投标人根据本项目特点，提供项目整体实施方案，具体包括： 1、切合本项目实际情况，提出步骤清晰、合理的项目组织实施计划及安排； 2、货物运送时运输工具的选取、运输路线规划、运送方案完整安全、科学、高效； 3、供货计划保障方案完整，在合同履行过程中编制网络进度图或供货进度计划表； 4、施工方案详细、操作性强、全面、合理，有具体的实施细节； 5、产品设备的安装调试方案，方案详细、全面、合理、专业性强； 6、具有实际可操作性的突发事件应急预案； 注：每具有一项得3分，最多得18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投标人根据本项目特点，提供安全保证措施方案。具体包括（包括但不限于货物、产品安全及人员安全等）： 1.制定详细、全面的安全管理计划，明确了安全目标、任务、责任人和时间节点，与项目整体计划紧密结合； 2.制定安全事故的应急预案，包括应急响应流程、恢复措施和责任分工等；。 3.有完善的人员安全培训和考核机制，人员安全意识强； 注：每具有一项得1分，最多得3分。在此基础上，方案中存在缺陷的，每1项中每有1处扣0.5分，每项最多扣1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售后服务方案及培训方案</w:t>
            </w:r>
          </w:p>
        </w:tc>
        <w:tc>
          <w:tcPr>
            <w:tcW w:type="dxa" w:w="2492"/>
          </w:tcPr>
          <w:p>
            <w:pPr>
              <w:pStyle w:val="null3"/>
            </w:pPr>
            <w:r>
              <w:rPr>
                <w:rFonts w:ascii="仿宋_GB2312" w:hAnsi="仿宋_GB2312" w:cs="仿宋_GB2312" w:eastAsia="仿宋_GB2312"/>
              </w:rPr>
              <w:t>投标人根据本项目特点，提供售后服务方案。具体包括： 1、提供针对本项目详细完整的售后服务方案，根据项目特性，重点明确、针对性强、贴近项目需求；（包括但不限于服务体系、技术支持能力、项目交付采购人后出现故障解决措施、故障响应时间、售后承诺、回访制度等）。 2、有完整的培训计划，（包括但不限于培训时间、组织方案、培训内容各个方面等） 3、有相应的技术支持及项目所在地售后服务机构（提供有效的办公场所证明材料）； 4、售后服务机构组成，人员从业经历及相关人员资料证明（身份证明、学历证明、人员证书）； 5、售后服务响应（电话支持、线上操作、到场服务）； 注：每具有一项得2分，最多得10分。在此基础上，方案中存在缺陷的，每1项中每有1处扣1分，每项最多扣2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详见附件：相关资格审查资料.docx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详见附件：技术方案评审.docx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