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b/>
        </w:rPr>
        <w:t>版本号：HRC-ZBDL-2025-0167820251107001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大荔县同州新区学校及城郊中学设施设备采购项目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HRC-ZBDL-2025-01678</w:t>
      </w:r>
      <w:r>
        <w:br/>
      </w:r>
      <w:r>
        <w:br/>
      </w:r>
      <w:r>
        <w:br/>
      </w:r>
    </w:p>
    <w:p>
      <w:pPr>
        <w:pStyle w:val="null3"/>
        <w:jc w:val="center"/>
        <w:outlineLvl w:val="2"/>
      </w:pPr>
      <w:r>
        <w:rPr>
          <w:rFonts w:ascii="仿宋_GB2312" w:hAnsi="仿宋_GB2312" w:cs="仿宋_GB2312" w:eastAsia="仿宋_GB2312"/>
          <w:sz w:val="28"/>
          <w:b/>
        </w:rPr>
        <w:t>大荔县教育体育局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大荔县教育体育局</w:t>
      </w:r>
      <w:r>
        <w:rPr>
          <w:rFonts w:ascii="仿宋_GB2312" w:hAnsi="仿宋_GB2312" w:cs="仿宋_GB2312" w:eastAsia="仿宋_GB2312"/>
        </w:rPr>
        <w:t>委托，拟对</w:t>
      </w:r>
      <w:r>
        <w:rPr>
          <w:rFonts w:ascii="仿宋_GB2312" w:hAnsi="仿宋_GB2312" w:cs="仿宋_GB2312" w:eastAsia="仿宋_GB2312"/>
        </w:rPr>
        <w:t>大荔县同州新区学校及城郊中学设施设备采购项目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HRC-ZBDL-2025-01678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大荔县同州新区学校及城郊中学设施设备采购项目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购置学生课桌凳、智慧黑板、空调、电脑、办公家具、厨房设备、体育器材、图书、校园广播、监控、各类部室等设备。城郊中学：购置智慧黑板、空调、考点会议办公桌椅等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陕西省大荔县北大街36号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谢振国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0913-3266019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0913-3581777/15191338837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采购包1：4,274,048.00元</w:t>
            </w:r>
          </w:p>
          <w:p>
            <w:pPr>
              <w:pStyle w:val="null3"/>
            </w:pPr>
            <w:r>
              <w:rPr>
                <w:rFonts w:ascii="仿宋_GB2312" w:hAnsi="仿宋_GB2312" w:cs="仿宋_GB2312" w:eastAsia="仿宋_GB2312"/>
              </w:rPr>
              <w:t>采购包2：4,780,361.00元</w:t>
            </w:r>
          </w:p>
          <w:p>
            <w:pPr>
              <w:pStyle w:val="null3"/>
            </w:pPr>
            <w:r>
              <w:rPr>
                <w:rFonts w:ascii="仿宋_GB2312" w:hAnsi="仿宋_GB2312" w:cs="仿宋_GB2312" w:eastAsia="仿宋_GB2312"/>
              </w:rPr>
              <w:t>采购包3：5,021,372.00元</w:t>
            </w:r>
          </w:p>
          <w:p>
            <w:pPr>
              <w:pStyle w:val="null3"/>
            </w:pPr>
            <w:r>
              <w:rPr>
                <w:rFonts w:ascii="仿宋_GB2312" w:hAnsi="仿宋_GB2312" w:cs="仿宋_GB2312" w:eastAsia="仿宋_GB2312"/>
              </w:rPr>
              <w:t>采购包4：2,747,219.00元</w:t>
            </w:r>
          </w:p>
          <w:p>
            <w:pPr>
              <w:pStyle w:val="null3"/>
            </w:pPr>
            <w:r>
              <w:rPr>
                <w:rFonts w:ascii="仿宋_GB2312" w:hAnsi="仿宋_GB2312" w:cs="仿宋_GB2312" w:eastAsia="仿宋_GB2312"/>
              </w:rPr>
              <w:t>采购包5：782,732.00元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以本采购包项目中标价为基数，按国家计委关于印发《磋商代理服务收费管理暂行办法》的通知（计价格【2002】1980号）《国家发展改革委关于降低部分建设项目收费标准规范收费行为等有关问题的通知》（发改价格[2011]534号）规定计取招标代理服务费。 2、支付方式：中标人应在领取通知书的同时，支付本项目代理服务费。 收款单位：华睿诚项目管理有限公司 开户行：西安银行小寨东路支行 账号：816011580000101224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联系电话：0913-3581777/15191338837</w:t>
      </w:r>
    </w:p>
    <w:p>
      <w:pPr>
        <w:pStyle w:val="null3"/>
      </w:pPr>
      <w:r>
        <w:rPr>
          <w:rFonts w:ascii="仿宋_GB2312" w:hAnsi="仿宋_GB2312" w:cs="仿宋_GB2312" w:eastAsia="仿宋_GB2312"/>
        </w:rPr>
        <w:t>地址：华睿诚项目管理有限公司（大荔项目部)</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购置学生课桌凳、智慧黑板、空调、电脑、办公家具、厨房设备、体育器材、图书、校园广播、监控、各类部室等设备。城郊中学：购置智慧黑板、空调、考点会议办公桌椅等。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4,274,048.00</w:t>
      </w:r>
    </w:p>
    <w:p>
      <w:pPr>
        <w:pStyle w:val="null3"/>
      </w:pPr>
      <w:r>
        <w:rPr>
          <w:rFonts w:ascii="仿宋_GB2312" w:hAnsi="仿宋_GB2312" w:cs="仿宋_GB2312" w:eastAsia="仿宋_GB2312"/>
        </w:rPr>
        <w:t>采购包最高限价（元）: 4,274,048.00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网络监控广播及信息化部室（同州新区学校）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4,274,048.00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4,780,361.00</w:t>
      </w:r>
    </w:p>
    <w:p>
      <w:pPr>
        <w:pStyle w:val="null3"/>
      </w:pPr>
      <w:r>
        <w:rPr>
          <w:rFonts w:ascii="仿宋_GB2312" w:hAnsi="仿宋_GB2312" w:cs="仿宋_GB2312" w:eastAsia="仿宋_GB2312"/>
        </w:rPr>
        <w:t>采购包最高限价（元）: 4,780,361.00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教学设备及报告厅（同州新区学校）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4,780,361.00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5,021,372.00</w:t>
      </w:r>
    </w:p>
    <w:p>
      <w:pPr>
        <w:pStyle w:val="null3"/>
      </w:pPr>
      <w:r>
        <w:rPr>
          <w:rFonts w:ascii="仿宋_GB2312" w:hAnsi="仿宋_GB2312" w:cs="仿宋_GB2312" w:eastAsia="仿宋_GB2312"/>
        </w:rPr>
        <w:t>采购包最高限价（元）: 5,021,372.00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办公设备、图书及部室（同州新区学校）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5,021,372.00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2,747,219.00</w:t>
      </w:r>
    </w:p>
    <w:p>
      <w:pPr>
        <w:pStyle w:val="null3"/>
      </w:pPr>
      <w:r>
        <w:rPr>
          <w:rFonts w:ascii="仿宋_GB2312" w:hAnsi="仿宋_GB2312" w:cs="仿宋_GB2312" w:eastAsia="仿宋_GB2312"/>
        </w:rPr>
        <w:t>采购包最高限价（元）: 2,747,219.00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厨房设备、窗帘、体育器材（同州新区学校）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2,747,219.00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782,732.00</w:t>
      </w:r>
    </w:p>
    <w:p>
      <w:pPr>
        <w:pStyle w:val="null3"/>
      </w:pPr>
      <w:r>
        <w:rPr>
          <w:rFonts w:ascii="仿宋_GB2312" w:hAnsi="仿宋_GB2312" w:cs="仿宋_GB2312" w:eastAsia="仿宋_GB2312"/>
        </w:rPr>
        <w:t>采购包最高限价（元）: 782,732.00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智慧黑板、线路改造及空调（城郊中学）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782,732.00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标的名称：网络监控广播及信息化部室（同州新区学校）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标的名称：教学设备及报告厅（同州新区学校）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标的名称：办公设备、图书及部室（同州新区学校）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标的名称：厨房设备、窗帘、体育器材（同州新区学校）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标的名称：智慧黑板、线路改造及空调（城郊中学）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大荔县同州新区学校及城郊中学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验收方案 （1）、验收目的 确保采购的设施设备符合合同约定的技术、质量、性能等要求，保障设备正常运行，为后续使用和维护提供依据。 （2）、验收对象 本次采购的设施设备及相关技术资料、配件等。 (3)、验收前提条件 供应商已完成设备生产、安装调试，设备具备验收条件。 设备相关技术资料（如说明书、合格证、检测报告等）齐全。 满足采购合同中约定的其他验收条件。 (4)、验收方式 联合验收：邀请供应商、财政部门、技术专家等共同参与验收。 (5）、验收步骤 1成立验收小组 成员包括采购方代表、技术专家、使用部门人员、第三方检测机构人员（如有）。明确各成员职责，制定验收计划。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(6）、验收依据 采购合同及技术规格书。 国家相关标准、行业规范。 设备制造商提供的技术资料和检测报告。 (7)、验收结论 验收合格：设备符合合同要求，可投入使用。 验收不合格：供应商需在规定时间内整改，整改后重新验收。 (8)、项目交接 验收合格后，采购方与供应商办理设备交接手续，移交设备及相关资料。 (9)、验收资料存档 将验收过程中的所有资料（如验收报告、检测数据、整改记录等）整理归档，保存备查。 注意事项： 验收过程中发现的问题应及时记录，明确责任方和整改期限。 对于重大问题或争议，可邀请第三方机构或专家进行评估。 验收完成后，采购方应按照合同约定支付款项。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采购包1核心产品：所有交换机 采购包2核心产品：智慧黑板 采购包3核心产品：办公电脑 采购包4核心产品：空调 采购包5核心产品：智慧黑板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30分。其他投标单位的价格分统一按照下列公式计算：投标报价得分=(评标基准价／投标报价)×投标报价总分 （计算分数时四舍五入取小数点后两位）。 备注：评标委员会认为供应商的报价明显低于其他通过符合性审查供应商的报价，有可能影响产品质量或者不能诚信履约的，应当要求其在评标现场合理的时间内提供书面说明，必要时递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