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版本号：HRC-ZBDL-2025-0170820251109002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大荔县“三化一片林”森林乡村建设补助项目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HRC-ZBDL-2025-01708</w:t>
      </w:r>
      <w:r>
        <w:br/>
      </w:r>
      <w:r>
        <w:br/>
      </w:r>
      <w:r>
        <w:br/>
      </w:r>
    </w:p>
    <w:p>
      <w:pPr>
        <w:pStyle w:val="null3"/>
        <w:jc w:val="center"/>
        <w:outlineLvl w:val="2"/>
      </w:pPr>
      <w:r>
        <w:rPr>
          <w:rFonts w:ascii="仿宋_GB2312" w:hAnsi="仿宋_GB2312" w:cs="仿宋_GB2312" w:eastAsia="仿宋_GB2312"/>
          <w:sz w:val="28"/>
          <w:b/>
        </w:rPr>
        <w:t>大荔县林业局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大荔县林业局</w:t>
      </w:r>
      <w:r>
        <w:rPr>
          <w:rFonts w:ascii="仿宋_GB2312" w:hAnsi="仿宋_GB2312" w:cs="仿宋_GB2312" w:eastAsia="仿宋_GB2312"/>
        </w:rPr>
        <w:t>委托，拟对</w:t>
      </w:r>
      <w:r>
        <w:rPr>
          <w:rFonts w:ascii="仿宋_GB2312" w:hAnsi="仿宋_GB2312" w:cs="仿宋_GB2312" w:eastAsia="仿宋_GB2312"/>
        </w:rPr>
        <w:t>大荔县“三化一片林”森林乡村建设补助项目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HRC-ZBDL-2025-01708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大荔县“三化一片林”森林乡村建设补助项目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加强生态保护体系建设，进一步改善森林生态环境，落实森林乡村建设项目。需满足的要求:造林当年成活率大于等于85%。</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采购包1（“三化一片林”森林乡村建设补助项目）：属于专门面向中小企业采购。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1、特殊资格要求：（1）投标人应是合法注册的法人或其他组织，并出具合法有效的营业执照、组织机构代码证、税务登记证或三证合一的营业执照，自然人参与的提供其身份证； （2）具备市政公用工程二级及以上资质，具有建设行政主管部门颁发的安全生产许可证并具有类似工程施工经验； （3）拟派项目经理具备市政公用工程专业二级以上（含二级）注册建造师执业资格和有效的安全生产考核合格证书，且未担任其他在建工程项目的项目经理 （4）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（5）信誉要求：投标供应商不得为“信用中国”网站（www.cred 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陕西省大荔县南关路2号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韩迎丽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13892342586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0913-3581777/15191338837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以本采购包项目中标价为基数，按国家计委关于印发《磋商代理服务收费管理暂行办法》的通知（计价格【2002】1980号）《国家发展改革委关于降低部分建设项目收费标准规范收费行为等有关问题的通知》（发改价格[2011]534号）规定计取招标代理服务费。 2、支付方式：中标人应在领取通知书的同时，支付本项目代理服务费。 收款单位：华睿诚项目管理有限公司 开户行：西安银行小寨东路支行 账号：816011580000101224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大荔县林业局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验收质量要求：①苗木存活率：栽植后经过一个生长周期后，成活率达到85%以上 ； ②保存率要求达到85%以上； ③选苗标准：严格执行《全国主要造林树种苗木质量分级标准》（合同签订后，苗木采购应出具苗木生产地的“两证一签”：苗木检疫证、苗木合格证和苗木标签）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联系电话：0913-3581777/15191338837</w:t>
      </w:r>
    </w:p>
    <w:p>
      <w:pPr>
        <w:pStyle w:val="null3"/>
      </w:pPr>
      <w:r>
        <w:rPr>
          <w:rFonts w:ascii="仿宋_GB2312" w:hAnsi="仿宋_GB2312" w:cs="仿宋_GB2312" w:eastAsia="仿宋_GB2312"/>
        </w:rPr>
        <w:t>地址：华睿诚项目管理有限公司（大荔项目部）</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建设地点安仁镇顾贤村、安仁镇永安村、朝邑镇广济村、冯村镇船舍村等4个村，主要建设内容是围绕农户家庭及周围空地、进村道路和村庄巷道两侧进行绿化美化，共绿化面积179亩。</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标的名称：建设地点安仁镇顾贤村、安仁镇永安村、朝邑镇广济村、冯村镇船舍村等4个村，主要建设内容是围绕农户家庭及周围空地、进村道路和村庄巷道两侧进行绿化美化，共绿化面积179亩。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一、概况及实施范围</w:t>
            </w:r>
            <w:r>
              <w:br/>
            </w:r>
            <w:r>
              <w:rPr>
                <w:rFonts w:ascii="仿宋_GB2312" w:hAnsi="仿宋_GB2312" w:cs="仿宋_GB2312" w:eastAsia="仿宋_GB2312"/>
              </w:rPr>
              <w:t xml:space="preserve"> 1、工程名称：大荔县林业局“三化一片林”森林乡村建设补助项目。</w:t>
            </w:r>
            <w:r>
              <w:br/>
            </w:r>
            <w:r>
              <w:rPr>
                <w:rFonts w:ascii="仿宋_GB2312" w:hAnsi="仿宋_GB2312" w:cs="仿宋_GB2312" w:eastAsia="仿宋_GB2312"/>
              </w:rPr>
              <w:t xml:space="preserve"> 2、项目概况：加强生态保护体系建设，进一步改善森林生态环境，落实森林乡村建设项目。需满足的要求:造林当年成活率大于等于85%。</w:t>
            </w:r>
            <w:r>
              <w:br/>
            </w:r>
            <w:r>
              <w:rPr>
                <w:rFonts w:ascii="仿宋_GB2312" w:hAnsi="仿宋_GB2312" w:cs="仿宋_GB2312" w:eastAsia="仿宋_GB2312"/>
              </w:rPr>
              <w:t xml:space="preserve"> 3.工期：自合同签订之日起60个日历日。在双方商定的有效日历日内完成本项目。</w:t>
            </w:r>
            <w:r>
              <w:br/>
            </w:r>
            <w:r>
              <w:rPr>
                <w:rFonts w:ascii="仿宋_GB2312" w:hAnsi="仿宋_GB2312" w:cs="仿宋_GB2312" w:eastAsia="仿宋_GB2312"/>
              </w:rPr>
              <w:t xml:space="preserve"> 4.地点：大荔县朝邑镇广济村、冯村镇船舍村、安仁镇永安村、安仁镇顾贤村。</w:t>
            </w:r>
            <w:r>
              <w:br/>
            </w:r>
            <w:r>
              <w:rPr>
                <w:rFonts w:ascii="仿宋_GB2312" w:hAnsi="仿宋_GB2312" w:cs="仿宋_GB2312" w:eastAsia="仿宋_GB2312"/>
              </w:rPr>
              <w:t xml:space="preserve"> 二、需执行的国家相关标准、行业标准、地方标准或者其他标准、规范标准</w:t>
            </w:r>
          </w:p>
          <w:p>
            <w:pPr>
              <w:pStyle w:val="null3"/>
            </w:pPr>
            <w:r>
              <w:rPr>
                <w:rFonts w:ascii="仿宋_GB2312" w:hAnsi="仿宋_GB2312" w:cs="仿宋_GB2312" w:eastAsia="仿宋_GB2312"/>
              </w:rPr>
              <w:t>1.《造林技术规程（GB/T 15776-2023）》；</w:t>
            </w:r>
          </w:p>
          <w:p>
            <w:pPr>
              <w:pStyle w:val="null3"/>
            </w:pPr>
            <w:r>
              <w:rPr>
                <w:rFonts w:ascii="仿宋_GB2312" w:hAnsi="仿宋_GB2312" w:cs="仿宋_GB2312" w:eastAsia="仿宋_GB2312"/>
              </w:rPr>
              <w:t>2.《造林作业设计规程（LY/T 1607-2003）》；</w:t>
            </w:r>
          </w:p>
          <w:p>
            <w:pPr>
              <w:pStyle w:val="null3"/>
            </w:pPr>
            <w:r>
              <w:rPr>
                <w:rFonts w:ascii="仿宋_GB2312" w:hAnsi="仿宋_GB2312" w:cs="仿宋_GB2312" w:eastAsia="仿宋_GB2312"/>
              </w:rPr>
              <w:t>3.《生态公益林建设技术规程（GB/T 18337.3-2001）》；</w:t>
            </w:r>
          </w:p>
          <w:p>
            <w:pPr>
              <w:pStyle w:val="null3"/>
            </w:pPr>
            <w:r>
              <w:rPr>
                <w:rFonts w:ascii="仿宋_GB2312" w:hAnsi="仿宋_GB2312" w:cs="仿宋_GB2312" w:eastAsia="仿宋_GB2312"/>
              </w:rPr>
              <w:t>4.《退化防护林修复技术规程（LY/T 13179-2020）》；</w:t>
            </w:r>
          </w:p>
          <w:p>
            <w:pPr>
              <w:pStyle w:val="null3"/>
            </w:pPr>
            <w:r>
              <w:rPr>
                <w:rFonts w:ascii="仿宋_GB2312" w:hAnsi="仿宋_GB2312" w:cs="仿宋_GB2312" w:eastAsia="仿宋_GB2312"/>
              </w:rPr>
              <w:t>5.《三北防护林退化林分修复技术规程（LY/T 2786-2017）》；</w:t>
            </w:r>
          </w:p>
          <w:p>
            <w:pPr>
              <w:pStyle w:val="null3"/>
            </w:pPr>
            <w:r>
              <w:rPr>
                <w:rFonts w:ascii="仿宋_GB2312" w:hAnsi="仿宋_GB2312" w:cs="仿宋_GB2312" w:eastAsia="仿宋_GB2312"/>
              </w:rPr>
              <w:t>6.《森林抚育规程（GB/T 15781-2015）》；</w:t>
            </w:r>
          </w:p>
          <w:p>
            <w:pPr>
              <w:pStyle w:val="null3"/>
            </w:pPr>
            <w:r>
              <w:rPr>
                <w:rFonts w:ascii="仿宋_GB2312" w:hAnsi="仿宋_GB2312" w:cs="仿宋_GB2312" w:eastAsia="仿宋_GB2312"/>
              </w:rPr>
              <w:t>7.《低效林改造技术（LY/T 1690-2017）》；</w:t>
            </w:r>
          </w:p>
          <w:p>
            <w:pPr>
              <w:pStyle w:val="null3"/>
            </w:pPr>
            <w:r>
              <w:rPr>
                <w:rFonts w:ascii="仿宋_GB2312" w:hAnsi="仿宋_GB2312" w:cs="仿宋_GB2312" w:eastAsia="仿宋_GB2312"/>
              </w:rPr>
              <w:t>8.《北方地区裸露边坡植被恢复技术规范（LY/T 2771-2016）》；</w:t>
            </w:r>
          </w:p>
          <w:p>
            <w:pPr>
              <w:pStyle w:val="null3"/>
            </w:pPr>
            <w:r>
              <w:rPr>
                <w:rFonts w:ascii="仿宋_GB2312" w:hAnsi="仿宋_GB2312" w:cs="仿宋_GB2312" w:eastAsia="仿宋_GB2312"/>
              </w:rPr>
              <w:t>9.《通道绿化技术规程（LY/T 2647-2016）》；</w:t>
            </w:r>
          </w:p>
          <w:p>
            <w:pPr>
              <w:pStyle w:val="null3"/>
            </w:pPr>
            <w:r>
              <w:rPr>
                <w:rFonts w:ascii="仿宋_GB2312" w:hAnsi="仿宋_GB2312" w:cs="仿宋_GB2312" w:eastAsia="仿宋_GB2312"/>
              </w:rPr>
              <w:t>10.《乡村绿化技术规程（LY/T 2645-2016）》。</w:t>
            </w:r>
          </w:p>
          <w:p>
            <w:pPr>
              <w:pStyle w:val="null3"/>
            </w:pPr>
            <w:r>
              <w:rPr>
                <w:rFonts w:ascii="仿宋_GB2312" w:hAnsi="仿宋_GB2312" w:cs="仿宋_GB2312" w:eastAsia="仿宋_GB2312"/>
              </w:rPr>
              <w:t xml:space="preserve">其他相关标准、规范。  </w:t>
            </w:r>
          </w:p>
          <w:p>
            <w:pPr>
              <w:pStyle w:val="null3"/>
            </w:pPr>
            <w:r>
              <w:rPr>
                <w:rFonts w:ascii="仿宋_GB2312" w:hAnsi="仿宋_GB2312" w:cs="仿宋_GB2312" w:eastAsia="仿宋_GB2312"/>
              </w:rPr>
              <w:t>三、质量标准</w:t>
            </w:r>
            <w:r>
              <w:br/>
            </w:r>
            <w:r>
              <w:rPr>
                <w:rFonts w:ascii="仿宋_GB2312" w:hAnsi="仿宋_GB2312" w:cs="仿宋_GB2312" w:eastAsia="仿宋_GB2312"/>
              </w:rPr>
              <w:t xml:space="preserve"> 合格</w:t>
            </w:r>
            <w:r>
              <w:br/>
            </w:r>
            <w:r>
              <w:rPr>
                <w:rFonts w:ascii="仿宋_GB2312" w:hAnsi="仿宋_GB2312" w:cs="仿宋_GB2312" w:eastAsia="仿宋_GB2312"/>
              </w:rPr>
              <w:t xml:space="preserve"> 四、工程量清单</w:t>
            </w:r>
            <w:r>
              <w:br/>
            </w:r>
            <w:r>
              <w:rPr>
                <w:rFonts w:ascii="仿宋_GB2312" w:hAnsi="仿宋_GB2312" w:cs="仿宋_GB2312" w:eastAsia="仿宋_GB2312"/>
              </w:rPr>
              <w:t xml:space="preserve"> 详见清单附件。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1.《造林技术规程（GB/T 15776-2023）》； 2.《造林作业设计规程（LY/T 1607-2003）》） 3.《生态公益林建设技术规程（GB/T 18337.3-2001）》； 4.《退化防护林修复技术规程（LY/T 13179-2020）》； 5.《三北防护林退化林分修复技术规程（LY/T 2786-2017）》； 6.《森林抚育规程（GB/T 15781-2015）》； 7.《低效林改造技术（LY/T 1690-2017）》； 8.《北方地区裸露边坡植被恢复技术规范（LY/T 2771-2016）》； 9.《通道绿化技术规程（LY/T 2647-2016）》； 10.《乡村绿化技术规程（LY/T 2645-2016）》。 其他相关标准、规范。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供应商需在项目电子化交易系统中按要求上传相应证明文件并进行电子签章。提供2024年度经审计的财务审计报告或开标时间前三个月内银行出具的资信证明。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（1）投标人应是合法注册的法人或其他组织，并出具合法有效的营业执照、组织机构代码证、税务登记证或三证合一的营业执照，自然人参与的提供其身份证； （2）具备市政公用工程二级及以上资质，具有建设行政主管部门颁发的安全生产许可证并具有类似工程施工经验； （3）拟派项目经理具备市政公用工程专业二级以上（含二级）注册建造师执业资格和有效的安全生产考核合格证书，且未担任其他在建工程项目的项目经理 （4）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（5）信誉要求：投标供应商不得为“信用中国”网站（www.cred 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响应文件没有重大缺项</w:t>
            </w:r>
          </w:p>
        </w:tc>
        <w:tc>
          <w:tcPr>
            <w:tcW w:type="dxa" w:w="1661"/>
          </w:tcPr>
          <w:p>
            <w:pPr>
              <w:pStyle w:val="null3"/>
            </w:pPr>
            <w:r>
              <w:rPr>
                <w:rFonts w:ascii="仿宋_GB2312" w:hAnsi="仿宋_GB2312" w:cs="仿宋_GB2312" w:eastAsia="仿宋_GB2312"/>
              </w:rPr>
              <w:t>技术方案.docx 中小企业声明函 商务条款响应偏离表.docx 技术条款响应偏离表.docx 资格证明文件.docx 响应文件封面 分项报价表.docx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响应文件的签署、加盖印章合格、有效；投标有效期与授权期限满足招标文件规定</w:t>
            </w:r>
          </w:p>
        </w:tc>
        <w:tc>
          <w:tcPr>
            <w:tcW w:type="dxa" w:w="1661"/>
          </w:tcPr>
          <w:p>
            <w:pPr>
              <w:pStyle w:val="null3"/>
            </w:pPr>
            <w:r>
              <w:rPr>
                <w:rFonts w:ascii="仿宋_GB2312" w:hAnsi="仿宋_GB2312" w:cs="仿宋_GB2312" w:eastAsia="仿宋_GB2312"/>
              </w:rPr>
              <w:t>技术方案.docx 中小企业声明函 商务条款响应偏离表.docx 技术条款响应偏离表.docx 资格证明文件.docx 响应文件封面 分项报价表.docx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响应文件技术要求无漏项；商务条款无偏离</w:t>
            </w:r>
          </w:p>
        </w:tc>
        <w:tc>
          <w:tcPr>
            <w:tcW w:type="dxa" w:w="1661"/>
          </w:tcPr>
          <w:p>
            <w:pPr>
              <w:pStyle w:val="null3"/>
            </w:pPr>
            <w:r>
              <w:rPr>
                <w:rFonts w:ascii="仿宋_GB2312" w:hAnsi="仿宋_GB2312" w:cs="仿宋_GB2312" w:eastAsia="仿宋_GB2312"/>
              </w:rPr>
              <w:t>响应文件封面 商务条款响应偏离表.docx 技术条款响应偏离表.docx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报价唯一且报价未超过采购预算</w:t>
            </w:r>
          </w:p>
        </w:tc>
        <w:tc>
          <w:tcPr>
            <w:tcW w:type="dxa" w:w="1661"/>
          </w:tcPr>
          <w:p>
            <w:pPr>
              <w:pStyle w:val="null3"/>
            </w:pPr>
            <w:r>
              <w:rPr>
                <w:rFonts w:ascii="仿宋_GB2312" w:hAnsi="仿宋_GB2312" w:cs="仿宋_GB2312" w:eastAsia="仿宋_GB2312"/>
              </w:rPr>
              <w:t>响应文件封面 分项报价表.docx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详细评审40.00分</w:t>
            </w:r>
          </w:p>
          <w:p>
            <w:pPr>
              <w:pStyle w:val="null3"/>
            </w:pPr>
            <w:r>
              <w:rPr>
                <w:rFonts w:ascii="仿宋_GB2312" w:hAnsi="仿宋_GB2312" w:cs="仿宋_GB2312" w:eastAsia="仿宋_GB2312"/>
              </w:rPr>
              <w:t>报价得分60.00分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提供近年类似项目业绩（2022年1 月至今），每提供一份得2分，最高得10 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后 期 养 护</w:t>
            </w:r>
          </w:p>
        </w:tc>
        <w:tc>
          <w:tcPr>
            <w:tcW w:type="dxa" w:w="2492"/>
          </w:tcPr>
          <w:p>
            <w:pPr>
              <w:pStyle w:val="null3"/>
            </w:pPr>
            <w:r>
              <w:rPr>
                <w:rFonts w:ascii="仿宋_GB2312" w:hAnsi="仿宋_GB2312" w:cs="仿宋_GB2312" w:eastAsia="仿宋_GB2312"/>
              </w:rPr>
              <w:t>提供针对本项目详细的养护措施承诺方案。包含但不限于：（1）日常维护；（2）应急响应速度及措施（3）质量保证承诺等；；以上3项每满足一项得2分，最高得6分。每有一处内容存在缺陷扣1分，扣完为止；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（1）确保工程质量的技术性组织措施；计0-2 分。 （2）确保安全生产的技术性组织措施；计0-2 分。 （3）确保文明施工的技术性组织措施及环境保护措施（包含治污减霾措施）；计0-2 分。 （4）确保工期的技术性组织措施；计0-2 分。 （5）施工方案和项目经理部组成人员；计0-2 分。 （6）施工机械配备和材料投入计划；计0-2 分。 （7）施工进度表或网络施工图；计0-2 分。 （8）劳动力安排计划及劳务分配情况表；计0-2 分。 （9）施工部署及总平面布置；计0-2 分。 （10）新技术、新产品、新工艺、新材料应用。计0-2 分。 备注：若缺项，则该项得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针对本次项目招标提出合理化建议，以利于确保质量、加快进度或节省投资。方案内容充分且针对性强的计4-2分，方案内容叙述简单且无针对性的计0-2分，未提供的不计分。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的计算方法为：价格分应当采用低价优先法计算，即满足竞争性磋商响应文件要求且最后报价最低的供应商价格为评标基准价，其价格分为满分。投标人的价格分统一按照下列公式计算：报价得分=（磋商基准价/最后磋商报价）×报价权值×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