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版本号：HY-ZB-060-202520251214001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大荔县羌白镇寺前村农防工程项目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HY-ZB-060-2025</w:t>
      </w:r>
      <w:r>
        <w:br/>
      </w:r>
      <w:r>
        <w:br/>
      </w:r>
      <w:r>
        <w:br/>
      </w:r>
    </w:p>
    <w:p>
      <w:pPr>
        <w:pStyle w:val="null3"/>
        <w:jc w:val="center"/>
        <w:outlineLvl w:val="2"/>
      </w:pPr>
      <w:r>
        <w:rPr>
          <w:rFonts w:ascii="仿宋_GB2312" w:hAnsi="仿宋_GB2312" w:cs="仿宋_GB2312" w:eastAsia="仿宋_GB2312"/>
          <w:sz w:val="28"/>
          <w:b/>
        </w:rPr>
        <w:t>大荔县羌白镇人民政府</w:t>
      </w:r>
    </w:p>
    <w:p>
      <w:pPr>
        <w:pStyle w:val="null3"/>
        <w:jc w:val="center"/>
        <w:outlineLvl w:val="2"/>
      </w:pPr>
      <w:r>
        <w:rPr>
          <w:rFonts w:ascii="仿宋_GB2312" w:hAnsi="仿宋_GB2312" w:cs="仿宋_GB2312" w:eastAsia="仿宋_GB2312"/>
          <w:sz w:val="28"/>
          <w:b/>
        </w:rPr>
        <w:t>陕西翰元工程咨询有限公司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陕西翰元工程咨询有限公司</w:t>
      </w:r>
      <w:r>
        <w:rPr>
          <w:rFonts w:ascii="仿宋_GB2312" w:hAnsi="仿宋_GB2312" w:cs="仿宋_GB2312" w:eastAsia="仿宋_GB2312"/>
        </w:rPr>
        <w:t>（以下简称“代理机构”）受</w:t>
      </w:r>
      <w:r>
        <w:rPr>
          <w:rFonts w:ascii="仿宋_GB2312" w:hAnsi="仿宋_GB2312" w:cs="仿宋_GB2312" w:eastAsia="仿宋_GB2312"/>
        </w:rPr>
        <w:t>大荔县羌白镇人民政府</w:t>
      </w:r>
      <w:r>
        <w:rPr>
          <w:rFonts w:ascii="仿宋_GB2312" w:hAnsi="仿宋_GB2312" w:cs="仿宋_GB2312" w:eastAsia="仿宋_GB2312"/>
        </w:rPr>
        <w:t>委托，拟对</w:t>
      </w:r>
      <w:r>
        <w:rPr>
          <w:rFonts w:ascii="仿宋_GB2312" w:hAnsi="仿宋_GB2312" w:cs="仿宋_GB2312" w:eastAsia="仿宋_GB2312"/>
        </w:rPr>
        <w:t>大荔县羌白镇寺前村农防工程项目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HY-ZB-060-2025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大荔县羌白镇寺前村农防工程项目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对大荔县羌白镇寺前村的生产围堤进行修复，恢复正常农业生产秩序。</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采购包1（大荔县羌白镇寺前村农防工程项目）：属于专门面向中小企业采购。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1、具有独立承担民事责任的能力：具有独立承担民事责任的能力的企业法人、其他组织或者自然人。</w:t>
      </w:r>
    </w:p>
    <w:p>
      <w:pPr>
        <w:pStyle w:val="null3"/>
      </w:pPr>
      <w:r>
        <w:rPr>
          <w:rFonts w:ascii="仿宋_GB2312" w:hAnsi="仿宋_GB2312" w:cs="仿宋_GB2312" w:eastAsia="仿宋_GB2312"/>
        </w:rPr>
        <w:t>2、供应商应提供健全的财务会计制度的证明材料：财务状况报告：提供具有财务审计资质单位出具的2024年度财务审计报告（成立时间至开标时间不足一年的可提供成立后任意时段的资产负债表）或投标文件递交截止时间前六个月内其基本账户银行出具的资信证明（附基本账户证明）；</w:t>
      </w:r>
    </w:p>
    <w:p>
      <w:pPr>
        <w:pStyle w:val="null3"/>
      </w:pPr>
      <w:r>
        <w:rPr>
          <w:rFonts w:ascii="仿宋_GB2312" w:hAnsi="仿宋_GB2312" w:cs="仿宋_GB2312" w:eastAsia="仿宋_GB2312"/>
        </w:rPr>
        <w:t>3、社会保障资金缴纳证明：社会保障资金缴纳证明：提供投标文件递交截止时间前12个月内任意一个月的社保缴费凭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4、税收缴纳证明：税收缴纳证明：提供投标文件递交截止 时间前12个月内任意一个月的缴费凭据；依法免税的应提供相关文件证明；</w:t>
      </w:r>
    </w:p>
    <w:p>
      <w:pPr>
        <w:pStyle w:val="null3"/>
      </w:pPr>
      <w:r>
        <w:rPr>
          <w:rFonts w:ascii="仿宋_GB2312" w:hAnsi="仿宋_GB2312" w:cs="仿宋_GB2312" w:eastAsia="仿宋_GB2312"/>
        </w:rPr>
        <w:t>5、具有履行合同的声明：提供具有履行本合同所必需的设备和专业技术能力的说明或承诺；</w:t>
      </w:r>
    </w:p>
    <w:p>
      <w:pPr>
        <w:pStyle w:val="null3"/>
      </w:pPr>
      <w:r>
        <w:rPr>
          <w:rFonts w:ascii="仿宋_GB2312" w:hAnsi="仿宋_GB2312" w:cs="仿宋_GB2312" w:eastAsia="仿宋_GB2312"/>
        </w:rPr>
        <w:t>6、无重大违法记录书面声明：参加政府采购活动前三年内在经营活动中无重大违法记录的书面声明；</w:t>
      </w:r>
    </w:p>
    <w:p>
      <w:pPr>
        <w:pStyle w:val="null3"/>
      </w:pPr>
      <w:r>
        <w:rPr>
          <w:rFonts w:ascii="仿宋_GB2312" w:hAnsi="仿宋_GB2312" w:cs="仿宋_GB2312" w:eastAsia="仿宋_GB2312"/>
        </w:rPr>
        <w:t>7、法定代表人授权书或法定代表人身份证明书：为企业法定代表人出具，信息真实合法有效，附有法定代表人和被委托人身份证复印件且人证相符（若法定代表人直接参加投标会则须提供法定代表人身份证明及法定代表人身份证复印件）；</w:t>
      </w:r>
    </w:p>
    <w:p>
      <w:pPr>
        <w:pStyle w:val="null3"/>
      </w:pPr>
      <w:r>
        <w:rPr>
          <w:rFonts w:ascii="仿宋_GB2312" w:hAnsi="仿宋_GB2312" w:cs="仿宋_GB2312" w:eastAsia="仿宋_GB2312"/>
        </w:rPr>
        <w:t>8、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供应商资质要求：应具备市政公用工程总承包三级（含三级）及以上资质；具备合法有效的安全生产许可证；拟派项目经理须具备市政公用工程二级及以上注册建造师执业资格和有效的安全生产考核合格证书；且无在建项目的承诺或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大荔县羌白镇人民政府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陕西省大荔县羌白镇东街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大荔县羌白镇人民政府经办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15609130708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陕西翰元工程咨询有限公司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大荔县西城街道办西二环北段551号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李沙沙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13093977939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杨俊明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0913-3256202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lt;招标代理服务收费管理暂行办法&gt;的通知》（计价格【2002】1980号）及《国家发改委关于降低部分建设项目收费标准规范收费行为等有关问题的通知》（发改价格[2011]534号）规定按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大荔县羌白镇人民政府</w:t>
      </w:r>
      <w:r>
        <w:rPr>
          <w:rFonts w:ascii="仿宋_GB2312" w:hAnsi="仿宋_GB2312" w:cs="仿宋_GB2312" w:eastAsia="仿宋_GB2312"/>
        </w:rPr>
        <w:t>和</w:t>
      </w:r>
      <w:r>
        <w:rPr>
          <w:rFonts w:ascii="仿宋_GB2312" w:hAnsi="仿宋_GB2312" w:cs="仿宋_GB2312" w:eastAsia="仿宋_GB2312"/>
        </w:rPr>
        <w:t>陕西翰元工程咨询有限公司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大荔县羌白镇人民政府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陕西翰元工程咨询有限公司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大荔县羌白镇人民政府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陕西翰元工程咨询有限公司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各项具体工作的质量标准和作业规范，按国家标准、行业标准、有关技术规范要求及招标文件、投标文件规定的内容执行。乙方提供的成果资料符合国家标准、行业标准以及有关技术规范要求。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联系人：李沙沙</w:t>
      </w:r>
    </w:p>
    <w:p>
      <w:pPr>
        <w:pStyle w:val="null3"/>
      </w:pPr>
      <w:r>
        <w:rPr>
          <w:rFonts w:ascii="仿宋_GB2312" w:hAnsi="仿宋_GB2312" w:cs="仿宋_GB2312" w:eastAsia="仿宋_GB2312"/>
        </w:rPr>
        <w:t>联系电话：13093977939</w:t>
      </w:r>
    </w:p>
    <w:p>
      <w:pPr>
        <w:pStyle w:val="null3"/>
      </w:pPr>
      <w:r>
        <w:rPr>
          <w:rFonts w:ascii="仿宋_GB2312" w:hAnsi="仿宋_GB2312" w:cs="仿宋_GB2312" w:eastAsia="仿宋_GB2312"/>
        </w:rPr>
        <w:t>地址：大荔县西城街道办西二环北段551号</w:t>
      </w:r>
    </w:p>
    <w:p>
      <w:pPr>
        <w:pStyle w:val="null3"/>
      </w:pPr>
      <w:r>
        <w:rPr>
          <w:rFonts w:ascii="仿宋_GB2312" w:hAnsi="仿宋_GB2312" w:cs="仿宋_GB2312" w:eastAsia="仿宋_GB2312"/>
        </w:rPr>
        <w:t>邮编：715100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1,150,000.00</w:t>
      </w:r>
    </w:p>
    <w:p>
      <w:pPr>
        <w:pStyle w:val="null3"/>
      </w:pPr>
      <w:r>
        <w:rPr>
          <w:rFonts w:ascii="仿宋_GB2312" w:hAnsi="仿宋_GB2312" w:cs="仿宋_GB2312" w:eastAsia="仿宋_GB2312"/>
        </w:rPr>
        <w:t>采购包最高限价（元）: 1,150,000.00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大荔县羌白镇寺前村农防工程项目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标的名称：大荔县羌白镇寺前村农防工程项目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（1）施工范围：工程量清单内所含的全部内容</w:t>
            </w:r>
            <w:r>
              <w:br/>
            </w:r>
            <w:r>
              <w:rPr>
                <w:rFonts w:ascii="仿宋_GB2312" w:hAnsi="仿宋_GB2312" w:cs="仿宋_GB2312" w:eastAsia="仿宋_GB2312"/>
              </w:rPr>
              <w:t xml:space="preserve"> （2）工期：45日历天</w:t>
            </w:r>
            <w:r>
              <w:br/>
            </w:r>
            <w:r>
              <w:rPr>
                <w:rFonts w:ascii="仿宋_GB2312" w:hAnsi="仿宋_GB2312" w:cs="仿宋_GB2312" w:eastAsia="仿宋_GB2312"/>
              </w:rPr>
              <w:t xml:space="preserve"> （3）质量标准：符合国家现行有关施工质量验收规范“合格”要求。</w:t>
            </w:r>
            <w:r>
              <w:br/>
            </w:r>
            <w:r>
              <w:rPr>
                <w:rFonts w:ascii="仿宋_GB2312" w:hAnsi="仿宋_GB2312" w:cs="仿宋_GB2312" w:eastAsia="仿宋_GB2312"/>
              </w:rPr>
              <w:t xml:space="preserve"> （4）本工程计价采用广联达计价软件7.0</w:t>
            </w:r>
          </w:p>
          <w:tbl>
            <w:tblPr>
              <w:tblBorders>
                <w:top w:val="single"/>
                <w:left w:val="single"/>
                <w:bottom w:val="single"/>
                <w:right w:val="single"/>
                <w:insideH w:val="single"/>
                <w:insideV w:val="single"/>
              </w:tblBorders>
            </w:tblPr>
            <w:tblGrid>
              <w:gridCol w:w="239"/>
              <w:gridCol w:w="473"/>
              <w:gridCol w:w="346"/>
              <w:gridCol w:w="346"/>
              <w:gridCol w:w="575"/>
              <w:gridCol w:w="193"/>
              <w:gridCol w:w="377"/>
            </w:tblGrid>
            <w:tr>
              <w:tc>
                <w:tcPr>
                  <w:tcW w:type="dxa" w:w="23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47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69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57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19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37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r>
            <w:tr>
              <w:tc>
                <w:tcPr>
                  <w:tcW w:type="dxa" w:w="239"/>
                  <w:vMerge/>
                  <w:tcBorders>
                    <w:top w:val="single" w:color="000000" w:sz="4"/>
                    <w:left w:val="single" w:color="000000" w:sz="4"/>
                    <w:bottom w:val="single" w:color="000000" w:sz="4"/>
                    <w:right w:val="single" w:color="000000" w:sz="4"/>
                  </w:tcBorders>
                </w:tcPr>
                <w:p/>
              </w:tc>
              <w:tc>
                <w:tcPr>
                  <w:tcW w:type="dxa" w:w="473"/>
                  <w:vMerge/>
                  <w:tcBorders>
                    <w:top w:val="single" w:color="000000" w:sz="4"/>
                    <w:left w:val="single" w:color="000000" w:sz="4"/>
                    <w:bottom w:val="single" w:color="000000" w:sz="4"/>
                    <w:right w:val="single" w:color="000000" w:sz="4"/>
                  </w:tcBorders>
                </w:tcPr>
                <w:p/>
              </w:tc>
              <w:tc>
                <w:tcPr>
                  <w:tcW w:type="dxa" w:w="692"/>
                  <w:gridSpan w:val="2"/>
                  <w:vMerge/>
                  <w:tcBorders>
                    <w:top w:val="single" w:color="000000" w:sz="4"/>
                    <w:left w:val="single" w:color="000000" w:sz="4"/>
                    <w:bottom w:val="single" w:color="000000" w:sz="4"/>
                    <w:right w:val="single" w:color="000000" w:sz="4"/>
                  </w:tcBorders>
                </w:tcPr>
                <w:p/>
              </w:tc>
              <w:tc>
                <w:tcPr>
                  <w:tcW w:type="dxa" w:w="575"/>
                  <w:vMerge/>
                  <w:tcBorders>
                    <w:top w:val="single" w:color="000000" w:sz="4"/>
                    <w:left w:val="single" w:color="000000" w:sz="4"/>
                    <w:bottom w:val="single" w:color="000000" w:sz="4"/>
                    <w:right w:val="single" w:color="000000" w:sz="4"/>
                  </w:tcBorders>
                </w:tcP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040103002001</w:t>
                  </w:r>
                </w:p>
              </w:tc>
              <w:tc>
                <w:tcPr>
                  <w:tcW w:type="dxa" w:w="69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土堤坝回填</w:t>
                  </w:r>
                </w:p>
              </w:tc>
              <w:tc>
                <w:tcPr>
                  <w:tcW w:type="dxa" w:w="5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1.填方来源:就地取土</w:t>
                  </w:r>
                  <w:r>
                    <w:br/>
                  </w:r>
                  <w:r>
                    <w:rPr>
                      <w:rFonts w:ascii="仿宋_GB2312" w:hAnsi="仿宋_GB2312" w:cs="仿宋_GB2312" w:eastAsia="仿宋_GB2312"/>
                      <w:sz w:val="19"/>
                      <w:color w:val="000000"/>
                    </w:rPr>
                    <w:t xml:space="preserve"> 2.密实度:93%</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1.场内运输</w:t>
                  </w:r>
                  <w:r>
                    <w:br/>
                  </w:r>
                  <w:r>
                    <w:rPr>
                      <w:rFonts w:ascii="仿宋_GB2312" w:hAnsi="仿宋_GB2312" w:cs="仿宋_GB2312" w:eastAsia="仿宋_GB2312"/>
                      <w:sz w:val="19"/>
                      <w:color w:val="000000"/>
                    </w:rPr>
                    <w:t xml:space="preserve"> 2.回填</w:t>
                  </w:r>
                  <w:r>
                    <w:br/>
                  </w:r>
                  <w:r>
                    <w:rPr>
                      <w:rFonts w:ascii="仿宋_GB2312" w:hAnsi="仿宋_GB2312" w:cs="仿宋_GB2312" w:eastAsia="仿宋_GB2312"/>
                      <w:sz w:val="19"/>
                      <w:color w:val="000000"/>
                    </w:rPr>
                    <w:t xml:space="preserve"> 3.碾压</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58800</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满足磋商文件、工程量清单的全部内容。</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1、本项目专门面向中小企业采购。 2、本项目属性：工程类；本项目采购标的所属行业为：建筑业。（按照《工信部 国家统计局 发改委 财政部 工信部联企业》中小企业划型标准（〔2011〕300号）规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3、成交供应商在成交结果发布后3个工作日内无偿向代理机构提供纸质版响应文件三套，电子U盘二个（U盘内容包括系统上传后导出完全一致的PDF版响应文件）。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具有独立承担民事责任的能力的企业法人、其他组织或者自然人。</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开标时间不足一年的可提供成立后任意时段的资产负债表）或投标文件递交截止时间前六个月内其基本账户银行出具的资信证明（附基本账户证明）；</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社会保障资金缴纳证明：提供投标文件递交截止时间前12个月内任意一个月的社保缴费凭据或社保机构开具的社会保险参保缴费情况证明；依法不需要缴纳社会保障资金的供应商应提供相关文件证明；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税收缴纳证明：提供投标文件递交截止 时间前12个月内任意一个月的缴费凭据；依法免税的应提供相关文件证明；</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法定代表人授权书或法定代表人身份证明书</w:t>
            </w:r>
          </w:p>
        </w:tc>
        <w:tc>
          <w:tcPr>
            <w:tcW w:type="dxa" w:w="3322"/>
          </w:tcPr>
          <w:p>
            <w:pPr>
              <w:pStyle w:val="null3"/>
            </w:pPr>
            <w:r>
              <w:rPr>
                <w:rFonts w:ascii="仿宋_GB2312" w:hAnsi="仿宋_GB2312" w:cs="仿宋_GB2312" w:eastAsia="仿宋_GB2312"/>
              </w:rPr>
              <w:t>为企业法定代表人出具，信息真实合法有效，附有法定代表人和被委托人身份证复印件且人证相符（若法定代表人直接参加投标会则须提供法定代表人身份证明及法定代表人身份证复印件）；</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应具备市政公用工程总承包三级（含三级）及以上资质；具备合法有效的安全生产许可证；拟派项目经理须具备市政公用工程二级及以上注册建造师执业资格和有效的安全生产考核合格证书；且无在建项目的承诺或声明材料；</w:t>
            </w:r>
          </w:p>
        </w:tc>
        <w:tc>
          <w:tcPr>
            <w:tcW w:type="dxa" w:w="1661"/>
          </w:tcPr>
          <w:p>
            <w:pPr>
              <w:pStyle w:val="null3"/>
            </w:pPr>
            <w:r>
              <w:rPr>
                <w:rFonts w:ascii="仿宋_GB2312" w:hAnsi="仿宋_GB2312" w:cs="仿宋_GB2312" w:eastAsia="仿宋_GB2312"/>
              </w:rPr>
              <w:t>供应商资格证明文件.docx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按竞争性磋商文件要求进行签章</w:t>
            </w:r>
          </w:p>
        </w:tc>
        <w:tc>
          <w:tcPr>
            <w:tcW w:type="dxa" w:w="1661"/>
          </w:tcPr>
          <w:p>
            <w:pPr>
              <w:pStyle w:val="null3"/>
            </w:pPr>
            <w:r>
              <w:rPr>
                <w:rFonts w:ascii="仿宋_GB2312" w:hAnsi="仿宋_GB2312" w:cs="仿宋_GB2312" w:eastAsia="仿宋_GB2312"/>
              </w:rPr>
              <w:t>响应文件封面 业绩一览表.docx 已标价工程量清单 中小企业声明函 残疾人福利性单位声明函 供应商资格证明文件.docx 响应函 施工组织设计.docx 监狱企业的证明文件 技术、服务、合同条款及其他商务要求应答表.docx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响应文件封面 已标价工程量清单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供应商资格证明文件.docx 响应函 技术、服务、合同条款及其他商务要求应答表.docx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供应商资格证明文件.docx 响应函 施工组织设计.docx 技术、服务、合同条款及其他商务要求应答表.docx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投标人针对本项目编制完善的施工部署，内容包含：①施工目标:包含成本目标、工期目标及质量目标②施工准备：包含技术准备、材料准备、机械准备及机具准备③施工安排：包含现场围挡及出入口管理、消防及道路安排。二、评审标准1、完整性：方案必须全面，对评审内容中的各项要求有详细描述；2、可实施性：切合本项目实际情况，提出步骤清晰、合理的方案；3、针对性：方案能够紧扣项目实际情况，内容科学合理。三、赋分标准（满分18分）①施工目标：每完全满足一个评审标准得2分，满分6分；②施工准备：每完全满足一个评审标准得2分，满分6分；③施工安排：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一、评审内容投标人针对本项目编制完善的进度计划，内容包含：①项目总进度：包含施工及采购分项节点控制及进度计划安排②进度保障措施。二、评审标准1、完整性：方案必须全面，对评审内容中的各项要求有详细描述；2、可实施性：切合本项目实际情况，提出步骤清晰、合理的方案；3、针对性：方案能够紧扣项目实际情况，内容科学合理。三、赋分标准（满分6分）①项目总进度：每完全满足一个评审标准得1分，满分3分；②进度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针对本项目具有①新材料的应用情况②新技术和新工艺的应用情况。二、评审标准1、完整性：方案必须全面，对评审内容中的各项要求有详细描述；2、可实施性：切合本项目实际情况，提出步骤清晰、合理的方案；3、针对性：方案能够紧扣项目实际情况，内容科学合理。三、赋分标准（满分6分）①新材料的应用情况：每完全满足一个评审标准得1分，满分3分；②新技术和新工艺的应用情况：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供应商针对本项目工程编制完善的质量保证措施，内容包含：①质量目标管理体系②施工质量检验制度③技术组织措施④材料储存方案。二、评审标准1、完整性：方案必须全面，对评审内容中的各项要求有详细描述；2、可实施性：切合本项目实际情况，提出步骤清晰、合理的方案；3、针对性：方案能够紧扣项目实际情况，内容科学合理。三、赋分标准（满分12分）①质量目标管理体系：每完全满足一个评审标准得1分，满分3分；②施工质量检验制度：每完全满足一个评审标准得1分，满分3分；③技术组织措施：每完全满足一个评审标准得1分，满分3分；④材料储存方案：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供应商针对本项目编制完整的文明施工措施，内容包含：①文明施工管理目标及技术措施②文明施工现场管理：材料管理、防扰民措施。二、评审标准1、完整性：方案必须全面，对评审内容中的各项要求有详细描述；2、可实施性：切合本项目实际情况，提出步骤清晰、合理的方案；3、针对性：方案能够紧扣项目实际情况，内容科学合理。三、赋分标准（满分6分）①文明施工管理目标及技术措施：每完全满足一个评审标准得1分，满分3分；②文明施工现场管理：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供应商针对本项目编制完整的安全施工措施，内容包含：①安全管理体系②安全责任归属划分③安全教育及防护：安全教育培训、施工人员安全警示服和安全帽穿配要求。二、评审标准1、完整性：方案必须全面，对评审内容中的各项要求有详细描述；2、可实施性：切合本项目实际情况，提出步骤清晰、合理的方案；3、针对性：方案能够紧扣项目实际情况，内容科学合理。三、赋分标准（满分4.5分）①安全管理体系：每完全满足一个评审标准得0.5，满分1.5分；②安全责任归属划分：每完全满足一个评审标准得0.5分，满分1.5分；③安全教育及防护：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针对本项目提供资源配置计划，内容包含：①拟投入的主要施工机械设备计划②主要材料进场计划③劳动力投入计划。二、评审标准1、完整性：方案须全面，对评审内容中的各项要求有详细描述及说明；2、可实施性：切合本项目实际情况，实施步骤清晰、合理；3、针对性：方案能够紧扣项目实际情况，内容科学合理。三、赋分标准（满分4.5分）①拟投入的主要施工机械设备计划：每完全满足一个评审标准得0.5分，满分1.5分；②主要材料进场计划：每完全满足一个评审标准得0.5分，满分1.5分；③劳动力投入计划：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针对本项目编制科学的项目管理机构，拟派的人员（施工员、质量员、材料员、安全员、预算员）配备清单（至少包含具体成员姓名、年龄、职业资格证书、从业工作年限、岗位），得5分。缺少证书一人扣一分，扣完为止。缺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11月至今类似工程项目业绩，以合同签订时间为准，每提供一份业绩得2分，满分8分。注：（1）以合同或者中标通知书为准，复印件清楚有效加盖公章，否则不作为评审依据。（2）同一工程有多个标段符合要求的，只按一个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满足磋商文件要求且最后报价最低的供应商的价格为基准价得 30 分，其他各供应商的最后报价得分按下列公式计算： 磋商报价得分=（磋商基准价/最后磋商报价）×30%×100。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