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31685"/>
      <w:bookmarkStart w:id="1" w:name="_Toc26197"/>
      <w:bookmarkStart w:id="2" w:name="_Toc22698"/>
      <w:bookmarkStart w:id="3" w:name="_Toc70372129"/>
      <w:bookmarkStart w:id="4" w:name="_Toc180246590"/>
      <w:bookmarkStart w:id="5" w:name="_Toc20261"/>
      <w:bookmarkStart w:id="6" w:name="_Toc24117"/>
      <w:bookmarkStart w:id="7" w:name="_Toc3436"/>
      <w:bookmarkStart w:id="8" w:name="_Toc958"/>
      <w:bookmarkStart w:id="9" w:name="_Toc3623"/>
      <w:bookmarkStart w:id="10" w:name="_Toc5298"/>
      <w:bookmarkStart w:id="11" w:name="_Toc10666"/>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大荔县羌白镇人民政府</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大荔县羌白镇人民政府</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cs="宋体"/>
          <w:b/>
          <w:bCs w:val="0"/>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lang w:val="en-US" w:eastAsia="zh-CN"/>
        </w:rPr>
        <w:t>竣工验收合格后一次性付清。</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大荔县羌白镇人民政府</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2200DDD9">
      <w:pPr>
        <w:spacing w:line="360" w:lineRule="auto"/>
        <w:rPr>
          <w:rFonts w:hint="eastAsia" w:ascii="宋体" w:hAnsi="宋体" w:cs="宋体"/>
          <w:b/>
          <w:sz w:val="24"/>
          <w:lang w:bidi="ar"/>
        </w:rPr>
      </w:pPr>
    </w:p>
    <w:p w14:paraId="1BBC72E6">
      <w:pPr>
        <w:spacing w:line="360" w:lineRule="auto"/>
        <w:rPr>
          <w:rFonts w:hint="eastAsia" w:ascii="宋体" w:hAnsi="宋体" w:cs="宋体"/>
          <w:b/>
          <w:sz w:val="24"/>
          <w:lang w:bidi="ar"/>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大荔县羌白镇人民政府</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大荔县羌白镇人民政府</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w:t>
      </w:r>
      <w:bookmarkStart w:id="16" w:name="_GoBack"/>
      <w:bookmarkEnd w:id="16"/>
      <w:r>
        <w:rPr>
          <w:rFonts w:hint="eastAsia" w:ascii="新宋体" w:hAnsi="新宋体" w:eastAsia="新宋体" w:cs="新宋体"/>
          <w:sz w:val="24"/>
          <w:lang w:bidi="ar"/>
        </w:rPr>
        <w:t>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5654685"/>
    <w:rsid w:val="06167308"/>
    <w:rsid w:val="06874187"/>
    <w:rsid w:val="06C1684A"/>
    <w:rsid w:val="06CC6CAC"/>
    <w:rsid w:val="071A4FFB"/>
    <w:rsid w:val="07E31891"/>
    <w:rsid w:val="08164961"/>
    <w:rsid w:val="08FC0E5C"/>
    <w:rsid w:val="091E747B"/>
    <w:rsid w:val="09A411A1"/>
    <w:rsid w:val="09FB7B9E"/>
    <w:rsid w:val="0A2C751F"/>
    <w:rsid w:val="0A2E2B51"/>
    <w:rsid w:val="0A6427DE"/>
    <w:rsid w:val="0AC254DC"/>
    <w:rsid w:val="0AF135CD"/>
    <w:rsid w:val="0C7E602C"/>
    <w:rsid w:val="0C9413AC"/>
    <w:rsid w:val="0CA912FB"/>
    <w:rsid w:val="0CB879A9"/>
    <w:rsid w:val="0CD1414C"/>
    <w:rsid w:val="0CF4009D"/>
    <w:rsid w:val="0D1F511A"/>
    <w:rsid w:val="0D8C4A31"/>
    <w:rsid w:val="0DA7734E"/>
    <w:rsid w:val="0E654555"/>
    <w:rsid w:val="0E6A7CD1"/>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684A32"/>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3D7EE7"/>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25C7843"/>
    <w:rsid w:val="5486329D"/>
    <w:rsid w:val="55281A3E"/>
    <w:rsid w:val="55342CF9"/>
    <w:rsid w:val="55391C98"/>
    <w:rsid w:val="55853555"/>
    <w:rsid w:val="559756A9"/>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AE0D24"/>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AC0800"/>
    <w:rsid w:val="79B67B89"/>
    <w:rsid w:val="7A146AD1"/>
    <w:rsid w:val="7AA8546C"/>
    <w:rsid w:val="7AAF67FA"/>
    <w:rsid w:val="7AC8166A"/>
    <w:rsid w:val="7B3A4316"/>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8128</Words>
  <Characters>8190</Characters>
  <Lines>307</Lines>
  <Paragraphs>86</Paragraphs>
  <TotalTime>0</TotalTime>
  <ScaleCrop>false</ScaleCrop>
  <LinksUpToDate>false</LinksUpToDate>
  <CharactersWithSpaces>9013</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6221530</cp:lastModifiedBy>
  <cp:lastPrinted>2025-04-14T06:22:00Z</cp:lastPrinted>
  <dcterms:modified xsi:type="dcterms:W3CDTF">2025-12-14T02:15:40Z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17FDD4B46DE942098C8D3578A7CA42D5_13</vt:lpwstr>
  </property>
  <property fmtid="{D5CDD505-2E9C-101B-9397-08002B2CF9AE}" pid="4" name="KSOTemplateDocerSaveRecord">
    <vt:lpwstr>eyJoZGlkIjoiNTg2OGY2YWQwNGM4MmU2ZWU4YjFhYTA5ODYzMzRlY2QiLCJ1c2VySWQiOiIxODMwNDYxIn0=</vt:lpwstr>
  </property>
</Properties>
</file>