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版本号：DLZCCS2025-2920251217001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冬枣农业品牌精品培育提升项目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DLZCCS2025-29</w:t>
      </w:r>
      <w:r>
        <w:br/>
      </w:r>
      <w:r>
        <w:br/>
      </w:r>
      <w:r>
        <w:br/>
      </w:r>
    </w:p>
    <w:p>
      <w:pPr>
        <w:pStyle w:val="null3"/>
        <w:jc w:val="center"/>
        <w:outlineLvl w:val="2"/>
      </w:pPr>
      <w:r>
        <w:rPr>
          <w:rFonts w:ascii="仿宋_GB2312" w:hAnsi="仿宋_GB2312" w:cs="仿宋_GB2312" w:eastAsia="仿宋_GB2312"/>
          <w:sz w:val="28"/>
          <w:b/>
        </w:rPr>
        <w:t>大荔县果业发展中心</w:t>
      </w:r>
    </w:p>
    <w:p>
      <w:pPr>
        <w:pStyle w:val="null3"/>
        <w:jc w:val="center"/>
        <w:outlineLvl w:val="2"/>
      </w:pPr>
      <w:r>
        <w:rPr>
          <w:rFonts w:ascii="仿宋_GB2312" w:hAnsi="仿宋_GB2312" w:cs="仿宋_GB2312" w:eastAsia="仿宋_GB2312"/>
          <w:sz w:val="28"/>
          <w:b/>
        </w:rPr>
        <w:t>大荔县政府采购中心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大荔县政府采购中心</w:t>
      </w:r>
      <w:r>
        <w:rPr>
          <w:rFonts w:ascii="仿宋_GB2312" w:hAnsi="仿宋_GB2312" w:cs="仿宋_GB2312" w:eastAsia="仿宋_GB2312"/>
        </w:rPr>
        <w:t>（以下简称“代理机构”）受</w:t>
      </w:r>
      <w:r>
        <w:rPr>
          <w:rFonts w:ascii="仿宋_GB2312" w:hAnsi="仿宋_GB2312" w:cs="仿宋_GB2312" w:eastAsia="仿宋_GB2312"/>
        </w:rPr>
        <w:t>大荔县果业发展中心</w:t>
      </w:r>
      <w:r>
        <w:rPr>
          <w:rFonts w:ascii="仿宋_GB2312" w:hAnsi="仿宋_GB2312" w:cs="仿宋_GB2312" w:eastAsia="仿宋_GB2312"/>
        </w:rPr>
        <w:t>委托，拟对</w:t>
      </w:r>
      <w:r>
        <w:rPr>
          <w:rFonts w:ascii="仿宋_GB2312" w:hAnsi="仿宋_GB2312" w:cs="仿宋_GB2312" w:eastAsia="仿宋_GB2312"/>
        </w:rPr>
        <w:t>冬枣农业品牌精品培育提升项目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DLZCCS2025-29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冬枣农业品牌精品培育提升项目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该项目实施，提高大荔冬枣品牌生产质效，完善品牌标准体系，规范统一品牌标识，构建品牌营销体系，强化品牌价值体系，巩固品牌市场份额，进一步提升品牌整体形象、市场知名度和溢价增值能力，实现农民增收、企业增效、品牌增值的目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采购包1（大荔县果业发展中心冬枣农业品牌精品培育提升项目）：属于专门面向中小企业采购。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大荔县果业发展中心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陕西省大荔县冯翊路16号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大荔县果业发展中心经办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15336126383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大荔县政府采购中心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大荔县西城街道洛滨大道西段（财政局709室）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09133256360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大荔县果业发展中心</w:t>
      </w:r>
      <w:r>
        <w:rPr>
          <w:rFonts w:ascii="仿宋_GB2312" w:hAnsi="仿宋_GB2312" w:cs="仿宋_GB2312" w:eastAsia="仿宋_GB2312"/>
        </w:rPr>
        <w:t>和</w:t>
      </w:r>
      <w:r>
        <w:rPr>
          <w:rFonts w:ascii="仿宋_GB2312" w:hAnsi="仿宋_GB2312" w:cs="仿宋_GB2312" w:eastAsia="仿宋_GB2312"/>
        </w:rPr>
        <w:t>大荔县政府采购中心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大荔县果业发展中心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大荔县政府采购中心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大荔县果业发展中心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大荔县政府采购中心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各项具体工作的质量标准和作业规范，按国家标准、行业标准、有关技术规范要求及招标文件、投标文件规定的内容执行。乙方提供的成果资料符合国家标准、行业标准以及有关技术规范要求。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联系人：张先生</w:t>
      </w:r>
    </w:p>
    <w:p>
      <w:pPr>
        <w:pStyle w:val="null3"/>
      </w:pPr>
      <w:r>
        <w:rPr>
          <w:rFonts w:ascii="仿宋_GB2312" w:hAnsi="仿宋_GB2312" w:cs="仿宋_GB2312" w:eastAsia="仿宋_GB2312"/>
        </w:rPr>
        <w:t>联系电话：0913-3256360</w:t>
      </w:r>
    </w:p>
    <w:p>
      <w:pPr>
        <w:pStyle w:val="null3"/>
      </w:pPr>
      <w:r>
        <w:rPr>
          <w:rFonts w:ascii="仿宋_GB2312" w:hAnsi="仿宋_GB2312" w:cs="仿宋_GB2312" w:eastAsia="仿宋_GB2312"/>
        </w:rPr>
        <w:t>地址：大荔县西城街道洛滨大道西段（财政局709室）</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印制冬枣标准手册2000册、《冬枣周年管理历》画册25000张、《大荔冬枣销售分级标准》挂画25000张；印制包装箱（盒）：大荔冬枣品牌手提袋4.5万套；文创产品印制：纸杯28000个、雨伞500把、帆布袋1000个、笔记本500本。</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大荔冬枣农业品牌精品培育提升项目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标的名称：大荔冬枣农业品牌精品培育提升项目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20"/>
              <w:gridCol w:w="253"/>
              <w:gridCol w:w="537"/>
              <w:gridCol w:w="710"/>
              <w:gridCol w:w="169"/>
              <w:gridCol w:w="130"/>
            </w:tblGrid>
            <w:tr>
              <w:tc>
                <w:tcPr>
                  <w:tcW w:type="dxa" w:w="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采购项目</w:t>
                  </w:r>
                </w:p>
                <w:p>
                  <w:pPr>
                    <w:pStyle w:val="null3"/>
                    <w:jc w:val="center"/>
                  </w:pPr>
                  <w:r>
                    <w:rPr>
                      <w:rFonts w:ascii="仿宋_GB2312" w:hAnsi="仿宋_GB2312" w:cs="仿宋_GB2312" w:eastAsia="仿宋_GB2312"/>
                      <w:sz w:val="24"/>
                      <w:b/>
                      <w:color w:val="000000"/>
                    </w:rPr>
                    <w:t>类别</w:t>
                  </w:r>
                </w:p>
              </w:tc>
              <w:tc>
                <w:tcPr>
                  <w:tcW w:type="dxa" w:w="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采购内容（品目）</w:t>
                  </w:r>
                </w:p>
              </w:tc>
              <w:tc>
                <w:tcPr>
                  <w:tcW w:type="dxa" w:w="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333333"/>
                      <w:shd w:fill="F6F6F6" w:val="clear"/>
                    </w:rPr>
                    <w:t>规格</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333333"/>
                      <w:shd w:fill="F6F6F6" w:val="clear"/>
                    </w:rPr>
                    <w:t>数量</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标准印制</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冬枣标准手册</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封面</w:t>
                  </w:r>
                  <w:r>
                    <w:rPr>
                      <w:rFonts w:ascii="仿宋_GB2312" w:hAnsi="仿宋_GB2312" w:cs="仿宋_GB2312" w:eastAsia="仿宋_GB2312"/>
                      <w:sz w:val="24"/>
                      <w:color w:val="000000"/>
                    </w:rPr>
                    <w:t>250克铜版哑膜；内页157g铜版；锁线胶装210</w:t>
                  </w:r>
                  <w:r>
                    <w:rPr>
                      <w:rFonts w:ascii="仿宋_GB2312" w:hAnsi="仿宋_GB2312" w:cs="仿宋_GB2312" w:eastAsia="仿宋_GB2312"/>
                      <w:sz w:val="24"/>
                      <w:color w:val="333333"/>
                      <w:shd w:fill="F6F6F6" w:val="clear"/>
                    </w:rPr>
                    <w:t>mm</w:t>
                  </w:r>
                  <w:r>
                    <w:rPr>
                      <w:rFonts w:ascii="仿宋_GB2312" w:hAnsi="仿宋_GB2312" w:cs="仿宋_GB2312" w:eastAsia="仿宋_GB2312"/>
                      <w:sz w:val="24"/>
                      <w:color w:val="000000"/>
                    </w:rPr>
                    <w:t>*285</w:t>
                  </w:r>
                  <w:r>
                    <w:rPr>
                      <w:rFonts w:ascii="仿宋_GB2312" w:hAnsi="仿宋_GB2312" w:cs="仿宋_GB2312" w:eastAsia="仿宋_GB2312"/>
                      <w:sz w:val="24"/>
                      <w:color w:val="333333"/>
                      <w:shd w:fill="F6F6F6" w:val="clear"/>
                    </w:rPr>
                    <w:t>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册</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《冬枣周年管理历》画册</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157克铜版；860</w:t>
                  </w:r>
                  <w:r>
                    <w:rPr>
                      <w:rFonts w:ascii="仿宋_GB2312" w:hAnsi="仿宋_GB2312" w:cs="仿宋_GB2312" w:eastAsia="仿宋_GB2312"/>
                      <w:sz w:val="24"/>
                      <w:color w:val="333333"/>
                      <w:shd w:fill="F6F6F6" w:val="clear"/>
                    </w:rPr>
                    <w:t>mm</w:t>
                  </w:r>
                  <w:r>
                    <w:rPr>
                      <w:rFonts w:ascii="仿宋_GB2312" w:hAnsi="仿宋_GB2312" w:cs="仿宋_GB2312" w:eastAsia="仿宋_GB2312"/>
                      <w:sz w:val="24"/>
                      <w:color w:val="000000"/>
                    </w:rPr>
                    <w:t>*570</w:t>
                  </w:r>
                  <w:r>
                    <w:rPr>
                      <w:rFonts w:ascii="仿宋_GB2312" w:hAnsi="仿宋_GB2312" w:cs="仿宋_GB2312" w:eastAsia="仿宋_GB2312"/>
                      <w:sz w:val="24"/>
                      <w:color w:val="333333"/>
                      <w:shd w:fill="F6F6F6" w:val="clear"/>
                    </w:rPr>
                    <w:t>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《大荔冬枣销售分级标准》挂画</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157克铜版；860</w:t>
                  </w:r>
                  <w:r>
                    <w:rPr>
                      <w:rFonts w:ascii="仿宋_GB2312" w:hAnsi="仿宋_GB2312" w:cs="仿宋_GB2312" w:eastAsia="仿宋_GB2312"/>
                      <w:sz w:val="24"/>
                      <w:color w:val="333333"/>
                      <w:shd w:fill="F6F6F6" w:val="clear"/>
                    </w:rPr>
                    <w:t>mm</w:t>
                  </w:r>
                  <w:r>
                    <w:rPr>
                      <w:rFonts w:ascii="仿宋_GB2312" w:hAnsi="仿宋_GB2312" w:cs="仿宋_GB2312" w:eastAsia="仿宋_GB2312"/>
                      <w:sz w:val="24"/>
                      <w:color w:val="000000"/>
                    </w:rPr>
                    <w:t>*570</w:t>
                  </w:r>
                  <w:r>
                    <w:rPr>
                      <w:rFonts w:ascii="仿宋_GB2312" w:hAnsi="仿宋_GB2312" w:cs="仿宋_GB2312" w:eastAsia="仿宋_GB2312"/>
                      <w:sz w:val="24"/>
                      <w:color w:val="333333"/>
                      <w:shd w:fill="F6F6F6" w:val="clear"/>
                    </w:rPr>
                    <w:t>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包装箱</w:t>
                  </w:r>
                </w:p>
                <w:p>
                  <w:pPr>
                    <w:pStyle w:val="null3"/>
                    <w:jc w:val="center"/>
                  </w:pPr>
                  <w:r>
                    <w:rPr>
                      <w:rFonts w:ascii="仿宋_GB2312" w:hAnsi="仿宋_GB2312" w:cs="仿宋_GB2312" w:eastAsia="仿宋_GB2312"/>
                      <w:sz w:val="24"/>
                      <w:color w:val="000000"/>
                    </w:rPr>
                    <w:t>（盒）印制</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大荔冬枣品牌包装箱（盒）</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手提袋；</w:t>
                  </w:r>
                  <w:r>
                    <w:rPr>
                      <w:rFonts w:ascii="仿宋_GB2312" w:hAnsi="仿宋_GB2312" w:cs="仿宋_GB2312" w:eastAsia="仿宋_GB2312"/>
                      <w:sz w:val="24"/>
                      <w:color w:val="000000"/>
                    </w:rPr>
                    <w:t>250克白卡纸；压纹铆钉装；395</w:t>
                  </w:r>
                  <w:r>
                    <w:rPr>
                      <w:rFonts w:ascii="仿宋_GB2312" w:hAnsi="仿宋_GB2312" w:cs="仿宋_GB2312" w:eastAsia="仿宋_GB2312"/>
                      <w:sz w:val="24"/>
                      <w:color w:val="333333"/>
                      <w:shd w:fill="F6F6F6" w:val="clear"/>
                    </w:rPr>
                    <w:t>mm</w:t>
                  </w:r>
                  <w:r>
                    <w:rPr>
                      <w:rFonts w:ascii="仿宋_GB2312" w:hAnsi="仿宋_GB2312" w:cs="仿宋_GB2312" w:eastAsia="仿宋_GB2312"/>
                      <w:sz w:val="24"/>
                      <w:color w:val="000000"/>
                    </w:rPr>
                    <w:t>*300</w:t>
                  </w:r>
                  <w:r>
                    <w:rPr>
                      <w:rFonts w:ascii="仿宋_GB2312" w:hAnsi="仿宋_GB2312" w:cs="仿宋_GB2312" w:eastAsia="仿宋_GB2312"/>
                      <w:sz w:val="24"/>
                      <w:color w:val="333333"/>
                      <w:shd w:fill="F6F6F6" w:val="clear"/>
                    </w:rPr>
                    <w:t>mm</w:t>
                  </w:r>
                  <w:r>
                    <w:rPr>
                      <w:rFonts w:ascii="仿宋_GB2312" w:hAnsi="仿宋_GB2312" w:cs="仿宋_GB2312" w:eastAsia="仿宋_GB2312"/>
                      <w:sz w:val="24"/>
                      <w:color w:val="000000"/>
                    </w:rPr>
                    <w:t>*105</w:t>
                  </w:r>
                  <w:r>
                    <w:rPr>
                      <w:rFonts w:ascii="仿宋_GB2312" w:hAnsi="仿宋_GB2312" w:cs="仿宋_GB2312" w:eastAsia="仿宋_GB2312"/>
                      <w:sz w:val="24"/>
                      <w:color w:val="333333"/>
                      <w:shd w:fill="F6F6F6" w:val="clear"/>
                    </w:rPr>
                    <w:t>mm</w:t>
                  </w:r>
                  <w:r>
                    <w:rPr>
                      <w:rFonts w:ascii="仿宋_GB2312" w:hAnsi="仿宋_GB2312" w:cs="仿宋_GB2312" w:eastAsia="仿宋_GB2312"/>
                      <w:sz w:val="24"/>
                      <w:color w:val="000000"/>
                    </w:rPr>
                    <w:t>；精品瓦楞盒</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5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文创产品</w:t>
                  </w:r>
                </w:p>
                <w:p>
                  <w:pPr>
                    <w:pStyle w:val="null3"/>
                    <w:jc w:val="center"/>
                  </w:pPr>
                  <w:r>
                    <w:rPr>
                      <w:rFonts w:ascii="仿宋_GB2312" w:hAnsi="仿宋_GB2312" w:cs="仿宋_GB2312" w:eastAsia="仿宋_GB2312"/>
                      <w:sz w:val="24"/>
                      <w:color w:val="000000"/>
                    </w:rPr>
                    <w:t>印制</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纸杯</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11盎司 铝箔纸杯</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5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雨伞</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遇水开花伞</w:t>
                  </w:r>
                  <w:r>
                    <w:rPr>
                      <w:rFonts w:ascii="仿宋_GB2312" w:hAnsi="仿宋_GB2312" w:cs="仿宋_GB2312" w:eastAsia="仿宋_GB2312"/>
                      <w:sz w:val="24"/>
                      <w:color w:val="000000"/>
                    </w:rPr>
                    <w:t>1*1米</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5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帆布袋</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帆布</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5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笔记本</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14㎝*20㎝</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各项具体工作的质量标准和作业规范，按国家标准、行业标准、有关技术规范要求及招标文件、投标文件规定的内容执行。乙方提供的成果资料符合国家标准、行业标准以及有关技术规范要求。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采购人因未及时向中标人提供项目启动所需资料造成服务期延误，每延误1日则本合同服务周期限延长1日，以此类推；因资料真实性给中标人造成损失和产生相关连带责任时，采购人除按中标人要求进行赔偿外还需承担因连带责任产生的所有责任。 （二）因中标人原因造成服务期延误（自然灾害、疫情等不可抗力除外），采购人有权从未付款项中按每日3‰合同价款扣除违约金，此违约以30日为限。</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1.提供2024年度完整审计报告，成立时间至提交响应文件截止时间不足1年的可提供报名前一个月内基本存款账户开户银行出具的资信证明。 2.提供已缴纳的2025年1月以来至少一个月的纳税证明或完税证明（任意税种），依法免税的供应商应提供相关证明材料。 3.提供已缴存的2025年1月以来至少一个月的社会保障资金缴存单据或社保机构开具的社会保险参保缴费情况证明。依法不需要缴纳社会保障资金的供应商应提供相关文件证明。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提供法定代表人授权书（附法定代表人有效身份证复印件，法定代表人直接参加只须提供法定代表人有效身份证）及被授权人有效身份证原件。</w:t>
            </w:r>
          </w:p>
        </w:tc>
        <w:tc>
          <w:tcPr>
            <w:tcW w:type="dxa" w:w="1661"/>
          </w:tcPr>
          <w:p>
            <w:pPr>
              <w:pStyle w:val="null3"/>
            </w:pPr>
            <w:r>
              <w:rPr>
                <w:rFonts w:ascii="仿宋_GB2312" w:hAnsi="仿宋_GB2312" w:cs="仿宋_GB2312" w:eastAsia="仿宋_GB2312"/>
              </w:rPr>
              <w:t>法定代表人授权书.docx 相关承诺书.docx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2.只能有一个有效报价，不接受选择性报价； 3.第一次磋商报价未超出采购预算或磋商文件规定的最高限价； 4.第一次磋商报价没有与市场价偏差较大、低于成本、可能影响服务质量或不能诚信履约。</w:t>
            </w:r>
          </w:p>
        </w:tc>
        <w:tc>
          <w:tcPr>
            <w:tcW w:type="dxa" w:w="1661"/>
          </w:tcPr>
          <w:p>
            <w:pPr>
              <w:pStyle w:val="null3"/>
            </w:pPr>
            <w:r>
              <w:rPr>
                <w:rFonts w:ascii="仿宋_GB2312" w:hAnsi="仿宋_GB2312" w:cs="仿宋_GB2312" w:eastAsia="仿宋_GB2312"/>
              </w:rPr>
              <w:t>服务响应偏离表.docx 服务方案 标的清单 报价表 商务条款响应偏离表.docx 相关承诺书.docx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磋商响应文件落款、营业执照、公章供应商名称完全一致。</w:t>
            </w:r>
          </w:p>
        </w:tc>
        <w:tc>
          <w:tcPr>
            <w:tcW w:type="dxa" w:w="1661"/>
          </w:tcPr>
          <w:p>
            <w:pPr>
              <w:pStyle w:val="null3"/>
            </w:pPr>
            <w:r>
              <w:rPr>
                <w:rFonts w:ascii="仿宋_GB2312" w:hAnsi="仿宋_GB2312" w:cs="仿宋_GB2312" w:eastAsia="仿宋_GB2312"/>
              </w:rPr>
              <w:t>响应文件封面 资格证明文件.docx 相关承诺书.docx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服务响应</w:t>
            </w:r>
          </w:p>
        </w:tc>
        <w:tc>
          <w:tcPr>
            <w:tcW w:type="dxa" w:w="3322"/>
          </w:tcPr>
          <w:p>
            <w:pPr>
              <w:pStyle w:val="null3"/>
            </w:pPr>
            <w:r>
              <w:rPr>
                <w:rFonts w:ascii="仿宋_GB2312" w:hAnsi="仿宋_GB2312" w:cs="仿宋_GB2312" w:eastAsia="仿宋_GB2312"/>
              </w:rPr>
              <w:t>完全理解并接受对合格供应商、合格的服务响应，根据供应商响应文件《服务响应偏离表》，及体服务方案、服务人员配备、服务承诺等并结合竞争性磋商文件第三部分的实质性要求。</w:t>
            </w:r>
          </w:p>
        </w:tc>
        <w:tc>
          <w:tcPr>
            <w:tcW w:type="dxa" w:w="1661"/>
          </w:tcPr>
          <w:p>
            <w:pPr>
              <w:pStyle w:val="null3"/>
            </w:pPr>
            <w:r>
              <w:rPr>
                <w:rFonts w:ascii="仿宋_GB2312" w:hAnsi="仿宋_GB2312" w:cs="仿宋_GB2312" w:eastAsia="仿宋_GB2312"/>
              </w:rPr>
              <w:t>响应文件封面 类似业绩的有关证明材料.docx 拟投入本项目人员力量配备.docx 服务方案 补充说明的事宜.docx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商务响应要求</w:t>
            </w:r>
          </w:p>
        </w:tc>
        <w:tc>
          <w:tcPr>
            <w:tcW w:type="dxa" w:w="3322"/>
          </w:tcPr>
          <w:p>
            <w:pPr>
              <w:pStyle w:val="null3"/>
            </w:pPr>
            <w:r>
              <w:rPr>
                <w:rFonts w:ascii="仿宋_GB2312" w:hAnsi="仿宋_GB2312" w:cs="仿宋_GB2312" w:eastAsia="仿宋_GB2312"/>
              </w:rPr>
              <w:t>服务期、质量保证、付款方式、质量保证和售后服务承诺及措施等。</w:t>
            </w:r>
          </w:p>
        </w:tc>
        <w:tc>
          <w:tcPr>
            <w:tcW w:type="dxa" w:w="1661"/>
          </w:tcPr>
          <w:p>
            <w:pPr>
              <w:pStyle w:val="null3"/>
            </w:pPr>
            <w:r>
              <w:rPr>
                <w:rFonts w:ascii="仿宋_GB2312" w:hAnsi="仿宋_GB2312" w:cs="仿宋_GB2312" w:eastAsia="仿宋_GB2312"/>
              </w:rPr>
              <w:t>响应文件封面 应急处理预案.docx 商务条款响应偏离表.docx 相关承诺书.docx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合同草案条款响应</w:t>
            </w:r>
          </w:p>
        </w:tc>
        <w:tc>
          <w:tcPr>
            <w:tcW w:type="dxa" w:w="3322"/>
          </w:tcPr>
          <w:p>
            <w:pPr>
              <w:pStyle w:val="null3"/>
            </w:pPr>
            <w:r>
              <w:rPr>
                <w:rFonts w:ascii="仿宋_GB2312" w:hAnsi="仿宋_GB2312" w:cs="仿宋_GB2312" w:eastAsia="仿宋_GB2312"/>
              </w:rPr>
              <w:t>有完全理解并接受磋商文件合同草案条款要求的描述。</w:t>
            </w:r>
          </w:p>
        </w:tc>
        <w:tc>
          <w:tcPr>
            <w:tcW w:type="dxa" w:w="1661"/>
          </w:tcPr>
          <w:p>
            <w:pPr>
              <w:pStyle w:val="null3"/>
            </w:pPr>
            <w:r>
              <w:rPr>
                <w:rFonts w:ascii="仿宋_GB2312" w:hAnsi="仿宋_GB2312" w:cs="仿宋_GB2312" w:eastAsia="仿宋_GB2312"/>
              </w:rPr>
              <w:t>服务响应偏离表.docx 服务方案 标的清单 报价表 商务条款响应偏离表.docx 相关承诺书.docx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 或法规明确规定 响应无效的事项</w:t>
            </w:r>
          </w:p>
        </w:tc>
        <w:tc>
          <w:tcPr>
            <w:tcW w:type="dxa" w:w="3322"/>
          </w:tcPr>
          <w:p>
            <w:pPr>
              <w:pStyle w:val="null3"/>
            </w:pPr>
            <w:r>
              <w:rPr>
                <w:rFonts w:ascii="仿宋_GB2312" w:hAnsi="仿宋_GB2312" w:cs="仿宋_GB2312" w:eastAsia="仿宋_GB2312"/>
              </w:rPr>
              <w:t>采购人不接受附加条件的响应，没有不符合磋商文件规定的被视为无效响应的其他条款。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根据服务数量和服务内容，合理配置人员数量， ①项目管理机构人员配备7人及以上得8分； ②项目管理机构人员配备4-6人得6分； ③)项目管理机构人员配备0-3人得3分。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拟投入本项目人员力量配备.docx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供应商具有近三年2022年10月至今的类似业绩，每提供一个业绩得2分，本项最高得6分。（合同复印件加盖供应商公章，以合同时间签订为准）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类似业绩的有关证明材料.docx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评审内容：供应商针对本项目制定的总体实施方案，包含①项目需求理解；②服务方案；③进度计划及组织保障措施；④服务质量保障； 评审标准：①完整性：总体实施方案须全面，思路清晰、分析透彻，内容完整；②可实施性；切合本项目实际情况，步骤明确、可操作性强；③针对性：总体实施方案能够紧扣项目实际情况，专业性强、内容科学、合理。 赋分标准（满分24分）：①每完全满足一项评审标准得6分；②针对每一项评审标准，若存在方案不明确、不合理、不完整、针对性不强等方面，扣2.5分；③每一项评审内容不提供或完全背离评审标准得0分。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补充说明的事宜.docx</w:t>
            </w:r>
          </w:p>
          <w:p>
            <w:pPr>
              <w:pStyle w:val="null3"/>
            </w:pPr>
            <w:r>
              <w:rPr>
                <w:rFonts w:ascii="仿宋_GB2312" w:hAnsi="仿宋_GB2312" w:cs="仿宋_GB2312" w:eastAsia="仿宋_GB2312"/>
              </w:rPr>
              <w:t>法定代表人授权书.docx</w:t>
            </w:r>
          </w:p>
          <w:p>
            <w:pPr>
              <w:pStyle w:val="null3"/>
            </w:pPr>
            <w:r>
              <w:rPr>
                <w:rFonts w:ascii="仿宋_GB2312" w:hAnsi="仿宋_GB2312" w:cs="仿宋_GB2312" w:eastAsia="仿宋_GB2312"/>
              </w:rPr>
              <w:t>服务响应偏离表.docx</w:t>
            </w:r>
          </w:p>
          <w:p>
            <w:pPr>
              <w:pStyle w:val="null3"/>
            </w:pPr>
            <w:r>
              <w:rPr>
                <w:rFonts w:ascii="仿宋_GB2312" w:hAnsi="仿宋_GB2312" w:cs="仿宋_GB2312" w:eastAsia="仿宋_GB2312"/>
              </w:rPr>
              <w:t>类似业绩的有关证明材料.docx</w:t>
            </w:r>
          </w:p>
          <w:p>
            <w:pPr>
              <w:pStyle w:val="null3"/>
            </w:pPr>
            <w:r>
              <w:rPr>
                <w:rFonts w:ascii="仿宋_GB2312" w:hAnsi="仿宋_GB2312" w:cs="仿宋_GB2312" w:eastAsia="仿宋_GB2312"/>
              </w:rPr>
              <w:t>拟投入本项目人员力量配备.docx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所需专业器具（设备）安排表.docx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评审内容：针对本项目的设计方案进行综合评估，①方案创意；②表现形式；③风格特性空间分布是否合理；④能否较好的表现项目采购物项的主题。 评审标准：①方案是否主题突出；②简洁实用；③布局开放通透；④颜色搭配协调。 赋分标准（满分20分）：①每完全满足一项评审标准得5分；②针对每一项评审标准，若存在方案不明确、不合理、不完整、针对性不强等方面，扣2.5分；③每一项评审内容不提供或完全背离评审标准得0分。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产品的技术指标满足采购文件要求的得9分，每不满足一项扣1分，扣完为止。供应商应提供相关技术参数佐证材料（包括但不限于含彩色样本或说明书或图纸，未提供或所提供材料无法有效证明的将视为不满足本参数要求）。</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评审内容：供应商针对本项目制定的应急预案，包含①针对服务中突发情况的应急预案；②突发情况处理措施。 评审标准：①完整性：总体实施方案须全面，思路清晰、分析透彻，内容完整；②可实施性；切合本项目实际情况，步骤明确、可操作性强；③针对性：总体实施方案能够紧扣项目实际情况，专业性强、内容科学、合理。 赋分标准（满分5分）：①完全满足评审标准得3.1-5分；②基本满足评审标准，存在方案基本明确、基本合理、基本完整、针对性一般等方面，得1-3分；③不能满足本项目要求内容存在明显瑕疵不得分。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相关承诺书.docx</w:t>
            </w:r>
          </w:p>
          <w:p>
            <w:pPr>
              <w:pStyle w:val="null3"/>
            </w:pPr>
            <w:r>
              <w:rPr>
                <w:rFonts w:ascii="仿宋_GB2312" w:hAnsi="仿宋_GB2312" w:cs="仿宋_GB2312" w:eastAsia="仿宋_GB2312"/>
              </w:rPr>
              <w:t>应急处理预案.docx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评审内容：供应商针对本项目制定的服务保障，包含①售后服务质量保证；②服务承诺；③增值服务。 评审标准：①完整性：总体实施方案须全面，思路清晰、分析透彻，内容完整；②可实施性；切合本项目实际情况，步骤明确、可操作性强；③针对性：总体实施方案能够紧扣项目实际情况，专业性强、内容科学、合理。 赋分标准（满分6分）：①每完全满足一项评审标准2分； ②针对每一项评审标准，若存在方案不明确、不合理、不完整、针对性不强等方面，扣0.5分；③每一项评审内容不提供或完全背离评审标准得0分。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相关承诺书.docx</w:t>
            </w:r>
          </w:p>
          <w:p>
            <w:pPr>
              <w:pStyle w:val="null3"/>
            </w:pPr>
            <w:r>
              <w:rPr>
                <w:rFonts w:ascii="仿宋_GB2312" w:hAnsi="仿宋_GB2312" w:cs="仿宋_GB2312" w:eastAsia="仿宋_GB2312"/>
              </w:rPr>
              <w:t>应急处理预案.docx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依据项目情况，提出针对本项目顺利推进的合理化建议。具体切实可行的得2分，建议一般，不太具体得1分。未提供不得分。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满足磋商文件实质性要求且最终报价最低的供应商的价格为磋商基准价，其价格分为满分20分。 磋商报价得分=（磋商基准价/最终磋商报价）×价格权值×100% 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详见附件：补充说明的事宜.docx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详见附件：类似业绩的有关证明材料.docx</w:t>
      </w:r>
    </w:p>
    <w:p>
      <w:pPr>
        <w:pStyle w:val="null3"/>
        <w:ind w:firstLine="960"/>
      </w:pPr>
      <w:r>
        <w:rPr>
          <w:rFonts w:ascii="仿宋_GB2312" w:hAnsi="仿宋_GB2312" w:cs="仿宋_GB2312" w:eastAsia="仿宋_GB2312"/>
        </w:rPr>
        <w:t>详见附件：拟投入本项目人员力量配备.docx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详见附件：所需专业器具（设备）安排表.docx</w:t>
      </w:r>
    </w:p>
    <w:p>
      <w:pPr>
        <w:pStyle w:val="null3"/>
        <w:ind w:firstLine="960"/>
      </w:pPr>
      <w:r>
        <w:rPr>
          <w:rFonts w:ascii="仿宋_GB2312" w:hAnsi="仿宋_GB2312" w:cs="仿宋_GB2312" w:eastAsia="仿宋_GB2312"/>
        </w:rPr>
        <w:t>详见附件：相关承诺书.docx</w:t>
      </w:r>
    </w:p>
    <w:p>
      <w:pPr>
        <w:pStyle w:val="null3"/>
        <w:ind w:firstLine="960"/>
      </w:pPr>
      <w:r>
        <w:rPr>
          <w:rFonts w:ascii="仿宋_GB2312" w:hAnsi="仿宋_GB2312" w:cs="仿宋_GB2312" w:eastAsia="仿宋_GB2312"/>
        </w:rPr>
        <w:t>详见附件：应急处理预案.docx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详见附件：拟签订合同文本果业中心.docx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