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版本号：0701-25204011066520251225001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亚洲开发银行贷款黄河流域绿色农田建设和农业高质量发展项目大荔县农田基础设施建设项目监理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0701-252040110665</w:t>
      </w:r>
      <w:r>
        <w:br/>
      </w:r>
      <w:r>
        <w:br/>
      </w:r>
      <w:r>
        <w:br/>
      </w:r>
    </w:p>
    <w:p>
      <w:pPr>
        <w:pStyle w:val="null3"/>
        <w:jc w:val="center"/>
        <w:outlineLvl w:val="2"/>
      </w:pPr>
      <w:r>
        <w:rPr>
          <w:rFonts w:ascii="仿宋_GB2312" w:hAnsi="仿宋_GB2312" w:cs="仿宋_GB2312" w:eastAsia="仿宋_GB2312"/>
          <w:sz w:val="28"/>
          <w:b/>
        </w:rPr>
        <w:t>大荔县农业农村局</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大荔县农业农村局</w:t>
      </w:r>
      <w:r>
        <w:rPr>
          <w:rFonts w:ascii="仿宋_GB2312" w:hAnsi="仿宋_GB2312" w:cs="仿宋_GB2312" w:eastAsia="仿宋_GB2312"/>
        </w:rPr>
        <w:t>委托，拟对</w:t>
      </w:r>
      <w:r>
        <w:rPr>
          <w:rFonts w:ascii="仿宋_GB2312" w:hAnsi="仿宋_GB2312" w:cs="仿宋_GB2312" w:eastAsia="仿宋_GB2312"/>
        </w:rPr>
        <w:t>亚洲开发银行贷款黄河流域绿色农田建设和农业高质量发展项目大荔县农田基础设施建设项目监理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0701-252040110665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亚洲开发银行贷款黄河流域绿色农田建设和农业高质量发展项目大荔县农田基础设施建设项目监理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该项目主要涉及羌白镇阿寿村、明水村和南德村，项目总面积9190亩。内容包括：农田基础设施建设工程、农田保护与生态环境改善工程、绿色农业产业发展工程等。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采购包1（亚洲开发银行贷款黄河流域绿色农田建设和农业高质量发展项目大荔县农田基础设施建设项目监理）：属于专门面向中小企业采购。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2、信用查询：供应商未列入“信用中国”网站（www.creditchina.gov.cn)和中国政府采购网(www.ccgp.gov.cn)失信被执行人、重大税收违法失信主体、政府采购严重违法失信行为记录名单</w:t>
      </w:r>
    </w:p>
    <w:p>
      <w:pPr>
        <w:pStyle w:val="null3"/>
      </w:pPr>
      <w:r>
        <w:rPr>
          <w:rFonts w:ascii="仿宋_GB2312" w:hAnsi="仿宋_GB2312" w:cs="仿宋_GB2312" w:eastAsia="仿宋_GB2312"/>
        </w:rPr>
        <w:t>3、资质：须具备建筑工程或水利水电工程监理乙级及以上资质</w:t>
      </w:r>
    </w:p>
    <w:p>
      <w:pPr>
        <w:pStyle w:val="null3"/>
      </w:pPr>
      <w:r>
        <w:rPr>
          <w:rFonts w:ascii="仿宋_GB2312" w:hAnsi="仿宋_GB2312" w:cs="仿宋_GB2312" w:eastAsia="仿宋_GB2312"/>
        </w:rPr>
        <w:t>4、人员：拟派总监理工程师须具备建筑工程或水利水电工程专业国家注册监理工程师执业资格，且无在监理工程;提供无在监理承诺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大荔县北环路78号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13891466662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北京市丰台区西营街1号院通用时代中心C座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张卓远、刘赟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18310065299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采购包1保证金金额：3,700.00元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开户名称：中技国际招标有限公司</w:t>
            </w:r>
          </w:p>
          <w:p>
            <w:pPr>
              <w:pStyle w:val="null3"/>
            </w:pPr>
            <w:r>
              <w:rPr>
                <w:rFonts w:ascii="仿宋_GB2312" w:hAnsi="仿宋_GB2312" w:cs="仿宋_GB2312" w:eastAsia="仿宋_GB2312"/>
              </w:rPr>
              <w:t>开户银行：交通银行阜外支行</w:t>
            </w:r>
          </w:p>
          <w:p>
            <w:pPr>
              <w:pStyle w:val="null3"/>
            </w:pPr>
            <w:r>
              <w:rPr>
                <w:rFonts w:ascii="仿宋_GB2312" w:hAnsi="仿宋_GB2312" w:cs="仿宋_GB2312" w:eastAsia="仿宋_GB2312"/>
              </w:rPr>
              <w:t>银行账号：110060149012013147797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大荔县农业农村局</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联系人：刘赟</w:t>
      </w:r>
    </w:p>
    <w:p>
      <w:pPr>
        <w:pStyle w:val="null3"/>
      </w:pPr>
      <w:r>
        <w:rPr>
          <w:rFonts w:ascii="仿宋_GB2312" w:hAnsi="仿宋_GB2312" w:cs="仿宋_GB2312" w:eastAsia="仿宋_GB2312"/>
        </w:rPr>
        <w:t>联系电话：010-81168623</w:t>
      </w:r>
    </w:p>
    <w:p>
      <w:pPr>
        <w:pStyle w:val="null3"/>
      </w:pPr>
      <w:r>
        <w:rPr>
          <w:rFonts w:ascii="仿宋_GB2312" w:hAnsi="仿宋_GB2312" w:cs="仿宋_GB2312" w:eastAsia="仿宋_GB2312"/>
        </w:rPr>
        <w:t>地址：北京市丰台区西营街1号院通用时代中心C座813室</w:t>
      </w:r>
    </w:p>
    <w:p>
      <w:pPr>
        <w:pStyle w:val="null3"/>
      </w:pPr>
      <w:r>
        <w:rPr>
          <w:rFonts w:ascii="仿宋_GB2312" w:hAnsi="仿宋_GB2312" w:cs="仿宋_GB2312" w:eastAsia="仿宋_GB2312"/>
        </w:rPr>
        <w:t>邮编：100055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该项目主要涉及羌白镇阿寿村、明水村和南德村，项目总面积9190亩。内容包括：农田基础设施建设工程、农田保护与生态环境改善工程、绿色农业产业发展工程等。本项目1个监理合同包。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大荔县农业农村局亚洲开发银行贷款黄河流域绿色农田建设和农业高质量发展项目大荔县农田基础设施建设项目监理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标的名称：大荔县农业农村局亚洲开发银行贷款黄河流域绿色农田建设和农业高质量发展项目大荔县农田基础设施建设项目监理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《高标准农田建设技术规范》</w:t>
            </w:r>
            <w:r>
              <w:rPr>
                <w:rFonts w:ascii="仿宋_GB2312" w:hAnsi="仿宋_GB2312" w:cs="仿宋_GB2312" w:eastAsia="仿宋_GB2312"/>
                <w:sz w:val="32"/>
              </w:rPr>
              <w:t>(NY/T2949-2016);</w:t>
            </w:r>
          </w:p>
          <w:p>
            <w:pPr>
              <w:pStyle w:val="null3"/>
              <w:ind w:firstLine="640"/>
              <w:jc w:val="both"/>
            </w:pPr>
            <w:r>
              <w:rPr>
                <w:rFonts w:ascii="仿宋_GB2312" w:hAnsi="仿宋_GB2312" w:cs="仿宋_GB2312" w:eastAsia="仿宋_GB2312"/>
                <w:sz w:val="32"/>
              </w:rPr>
              <w:t>2、《高标准农田建设通则》(GB/T30600-2022)</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3、《土地整治高标准农田建设标准综合体》(DB61/T991.1~991.6、-2015);</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《农田排水工程技术规范》</w:t>
            </w:r>
            <w:r>
              <w:rPr>
                <w:rFonts w:ascii="仿宋_GB2312" w:hAnsi="仿宋_GB2312" w:cs="仿宋_GB2312" w:eastAsia="仿宋_GB2312"/>
                <w:sz w:val="32"/>
              </w:rPr>
              <w:t>(SL4-2013);</w:t>
            </w:r>
          </w:p>
          <w:p>
            <w:pPr>
              <w:pStyle w:val="null3"/>
              <w:ind w:firstLine="640"/>
              <w:jc w:val="both"/>
            </w:pPr>
            <w:r>
              <w:rPr>
                <w:rFonts w:ascii="仿宋_GB2312" w:hAnsi="仿宋_GB2312" w:cs="仿宋_GB2312" w:eastAsia="仿宋_GB2312"/>
                <w:sz w:val="32"/>
              </w:rPr>
              <w:t>5、《节水灌溉工程技术标准》(GB/T50363-2018);</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《水利建设项目经济评价规范》</w:t>
            </w:r>
            <w:r>
              <w:rPr>
                <w:rFonts w:ascii="仿宋_GB2312" w:hAnsi="仿宋_GB2312" w:cs="仿宋_GB2312" w:eastAsia="仿宋_GB2312"/>
                <w:sz w:val="32"/>
              </w:rPr>
              <w:t>(SLT2-2013);</w:t>
            </w:r>
          </w:p>
          <w:p>
            <w:pPr>
              <w:pStyle w:val="null3"/>
              <w:ind w:firstLine="640"/>
              <w:jc w:val="both"/>
            </w:pPr>
            <w:r>
              <w:rPr>
                <w:rFonts w:ascii="仿宋_GB2312" w:hAnsi="仿宋_GB2312" w:cs="仿宋_GB2312" w:eastAsia="仿宋_GB2312"/>
                <w:sz w:val="32"/>
              </w:rPr>
              <w:t>7、《农村防火规范》(GB50039-2010);</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《耕地质量等级》</w:t>
            </w:r>
            <w:r>
              <w:rPr>
                <w:rFonts w:ascii="仿宋_GB2312" w:hAnsi="仿宋_GB2312" w:cs="仿宋_GB2312" w:eastAsia="仿宋_GB2312"/>
                <w:sz w:val="32"/>
              </w:rPr>
              <w:t>(GB/T33469-2016);</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《测土配方施肥技术规范》</w:t>
            </w:r>
            <w:r>
              <w:rPr>
                <w:rFonts w:ascii="仿宋_GB2312" w:hAnsi="仿宋_GB2312" w:cs="仿宋_GB2312" w:eastAsia="仿宋_GB2312"/>
                <w:sz w:val="32"/>
              </w:rPr>
              <w:t>(NY/T1118-2006);</w:t>
            </w:r>
          </w:p>
          <w:p>
            <w:pPr>
              <w:pStyle w:val="null3"/>
              <w:ind w:firstLine="640"/>
              <w:jc w:val="both"/>
            </w:pPr>
            <w:r>
              <w:rPr>
                <w:rFonts w:ascii="仿宋_GB2312" w:hAnsi="仿宋_GB2312" w:cs="仿宋_GB2312" w:eastAsia="仿宋_GB2312"/>
                <w:sz w:val="32"/>
              </w:rPr>
              <w:t>10、《乡村道路工程技术规范》(GB/T51224-2017);</w:t>
            </w:r>
          </w:p>
          <w:p>
            <w:pPr>
              <w:pStyle w:val="null3"/>
              <w:ind w:firstLine="640"/>
              <w:jc w:val="both"/>
            </w:pPr>
            <w:r>
              <w:rPr>
                <w:rFonts w:ascii="仿宋_GB2312" w:hAnsi="仿宋_GB2312" w:cs="仿宋_GB2312" w:eastAsia="仿宋_GB2312"/>
                <w:sz w:val="32"/>
              </w:rPr>
              <w:t>11、《行业用水定额》(DB61/T943-2020);</w:t>
            </w:r>
          </w:p>
          <w:p>
            <w:pPr>
              <w:pStyle w:val="null3"/>
              <w:ind w:firstLine="640"/>
              <w:jc w:val="both"/>
            </w:pPr>
            <w:r>
              <w:rPr>
                <w:rFonts w:ascii="仿宋_GB2312" w:hAnsi="仿宋_GB2312" w:cs="仿宋_GB2312" w:eastAsia="仿宋_GB2312"/>
                <w:sz w:val="32"/>
              </w:rPr>
              <w:t>12、农业农村部《农田建设项目管理办法》</w:t>
            </w:r>
          </w:p>
          <w:p>
            <w:pPr>
              <w:pStyle w:val="null3"/>
              <w:ind w:firstLine="640"/>
              <w:jc w:val="both"/>
            </w:pPr>
            <w:r>
              <w:rPr>
                <w:rFonts w:ascii="仿宋_GB2312" w:hAnsi="仿宋_GB2312" w:cs="仿宋_GB2312" w:eastAsia="仿宋_GB2312"/>
                <w:sz w:val="32"/>
              </w:rPr>
              <w:t>13、《农田建设项目管理办法》</w:t>
            </w:r>
          </w:p>
          <w:p>
            <w:pPr>
              <w:pStyle w:val="null3"/>
              <w:ind w:firstLine="640"/>
              <w:jc w:val="both"/>
            </w:pPr>
            <w:r>
              <w:rPr>
                <w:rFonts w:ascii="仿宋_GB2312" w:hAnsi="仿宋_GB2312" w:cs="仿宋_GB2312" w:eastAsia="仿宋_GB2312"/>
                <w:sz w:val="32"/>
              </w:rPr>
              <w:t>14、《高标准农田建设质量管理办法》</w:t>
            </w:r>
          </w:p>
          <w:p>
            <w:pPr>
              <w:pStyle w:val="null3"/>
              <w:ind w:firstLine="640"/>
              <w:jc w:val="both"/>
            </w:pPr>
            <w:r>
              <w:rPr>
                <w:rFonts w:ascii="仿宋_GB2312" w:hAnsi="仿宋_GB2312" w:cs="仿宋_GB2312" w:eastAsia="仿宋_GB2312"/>
                <w:sz w:val="32"/>
              </w:rPr>
              <w:t>15、《高标准农田建设评价规范》</w:t>
            </w:r>
          </w:p>
          <w:p>
            <w:pPr>
              <w:pStyle w:val="null3"/>
              <w:ind w:firstLine="640"/>
              <w:jc w:val="both"/>
            </w:pPr>
            <w:r>
              <w:rPr>
                <w:rFonts w:ascii="仿宋_GB2312" w:hAnsi="仿宋_GB2312" w:cs="仿宋_GB2312" w:eastAsia="仿宋_GB2312"/>
                <w:sz w:val="32"/>
              </w:rPr>
              <w:t>16、《生物有机肥标准》(NY/884-2012)</w:t>
            </w:r>
          </w:p>
          <w:p>
            <w:pPr>
              <w:pStyle w:val="null3"/>
              <w:ind w:firstLine="640"/>
              <w:jc w:val="both"/>
            </w:pPr>
            <w:r>
              <w:rPr>
                <w:rFonts w:ascii="仿宋_GB2312" w:hAnsi="仿宋_GB2312" w:cs="仿宋_GB2312" w:eastAsia="仿宋_GB2312"/>
                <w:sz w:val="32"/>
              </w:rPr>
              <w:t>17、建设工程监理规范实施细则</w:t>
            </w:r>
          </w:p>
          <w:p>
            <w:pPr>
              <w:pStyle w:val="null3"/>
              <w:ind w:firstLine="640"/>
              <w:jc w:val="both"/>
            </w:pPr>
            <w:r>
              <w:rPr>
                <w:rFonts w:ascii="仿宋_GB2312" w:hAnsi="仿宋_GB2312" w:cs="仿宋_GB2312" w:eastAsia="仿宋_GB2312"/>
                <w:sz w:val="32"/>
              </w:rPr>
              <w:t>符合国家相关法律、法规及行业规范及采购要求，达到合</w:t>
            </w:r>
          </w:p>
          <w:p>
            <w:pPr>
              <w:pStyle w:val="null3"/>
              <w:ind w:firstLine="640"/>
              <w:jc w:val="both"/>
            </w:pPr>
            <w:r>
              <w:rPr>
                <w:rFonts w:ascii="仿宋_GB2312" w:hAnsi="仿宋_GB2312" w:cs="仿宋_GB2312" w:eastAsia="仿宋_GB2312"/>
                <w:sz w:val="32"/>
              </w:rPr>
              <w:t>格标准。</w:t>
            </w:r>
          </w:p>
          <w:p>
            <w:pPr>
              <w:pStyle w:val="null3"/>
              <w:ind w:firstLine="64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32"/>
              </w:rPr>
              <w:t>服务指标的具体要求</w:t>
            </w:r>
          </w:p>
          <w:p>
            <w:pPr>
              <w:pStyle w:val="null3"/>
              <w:ind w:firstLine="640"/>
              <w:jc w:val="both"/>
            </w:pPr>
            <w:r>
              <w:rPr>
                <w:rFonts w:ascii="仿宋_GB2312" w:hAnsi="仿宋_GB2312" w:cs="仿宋_GB2312" w:eastAsia="仿宋_GB2312"/>
                <w:sz w:val="32"/>
              </w:rPr>
              <w:t>质量控制：覆盖土地平整、土壤改良、灌排、道路等全部工程，关键工序全程旁站，原材料和隐蔽工程严格验收，确保符合规范及设计要求。</w:t>
            </w:r>
          </w:p>
          <w:p>
            <w:pPr>
              <w:pStyle w:val="null3"/>
              <w:ind w:firstLine="640"/>
              <w:jc w:val="both"/>
            </w:pPr>
            <w:r>
              <w:rPr>
                <w:rFonts w:ascii="仿宋_GB2312" w:hAnsi="仿宋_GB2312" w:cs="仿宋_GB2312" w:eastAsia="仿宋_GB2312"/>
                <w:sz w:val="32"/>
              </w:rPr>
              <w:t>进度控制：审核施工进度计划，跟踪执行情况，及时协调解决影响进度的问题，保障按合同工期完工。</w:t>
            </w:r>
          </w:p>
          <w:p>
            <w:pPr>
              <w:pStyle w:val="null3"/>
              <w:ind w:firstLine="640"/>
              <w:jc w:val="both"/>
            </w:pPr>
            <w:r>
              <w:rPr>
                <w:rFonts w:ascii="仿宋_GB2312" w:hAnsi="仿宋_GB2312" w:cs="仿宋_GB2312" w:eastAsia="仿宋_GB2312"/>
                <w:sz w:val="32"/>
              </w:rPr>
              <w:t>投资控制：规范审核工程量与工程款支付，严格把控工程变更，确保项目投资控制在概算范围内。</w:t>
            </w:r>
          </w:p>
          <w:p>
            <w:pPr>
              <w:pStyle w:val="null3"/>
              <w:ind w:firstLine="640"/>
              <w:jc w:val="both"/>
            </w:pPr>
            <w:r>
              <w:rPr>
                <w:rFonts w:ascii="仿宋_GB2312" w:hAnsi="仿宋_GB2312" w:cs="仿宋_GB2312" w:eastAsia="仿宋_GB2312"/>
                <w:sz w:val="32"/>
              </w:rPr>
              <w:t>安全管理：监督落实安全生产措施，排查安全隐患并督促闭环整改，杜绝重大安全事故。</w:t>
            </w:r>
          </w:p>
          <w:p>
            <w:pPr>
              <w:pStyle w:val="null3"/>
              <w:ind w:firstLine="640"/>
              <w:jc w:val="both"/>
            </w:pPr>
            <w:r>
              <w:rPr>
                <w:rFonts w:ascii="仿宋_GB2312" w:hAnsi="仿宋_GB2312" w:cs="仿宋_GB2312" w:eastAsia="仿宋_GB2312"/>
                <w:sz w:val="32"/>
              </w:rPr>
              <w:t>合同与信息管理：规范处理合同争议、变更</w:t>
            </w:r>
            <w:r>
              <w:rPr>
                <w:rFonts w:ascii="仿宋_GB2312" w:hAnsi="仿宋_GB2312" w:cs="仿宋_GB2312" w:eastAsia="仿宋_GB2312"/>
                <w:sz w:val="32"/>
              </w:rPr>
              <w:t>等</w:t>
            </w:r>
            <w:r>
              <w:rPr>
                <w:rFonts w:ascii="仿宋_GB2312" w:hAnsi="仿宋_GB2312" w:cs="仿宋_GB2312" w:eastAsia="仿宋_GB2312"/>
                <w:sz w:val="32"/>
              </w:rPr>
              <w:t>，完整留存监理日志、验收记录等资料，按时提交监理报告。</w:t>
            </w:r>
          </w:p>
          <w:p>
            <w:pPr>
              <w:pStyle w:val="null3"/>
              <w:ind w:firstLine="640"/>
              <w:jc w:val="both"/>
            </w:pPr>
            <w:r>
              <w:rPr>
                <w:rFonts w:ascii="仿宋_GB2312" w:hAnsi="仿宋_GB2312" w:cs="仿宋_GB2312" w:eastAsia="仿宋_GB2312"/>
                <w:sz w:val="32"/>
              </w:rPr>
              <w:t>人员要求：配备专业齐全的监理团队，总监理工程师及专业监理工程师满足资质和经验要求，按约定驻场履职。</w:t>
            </w:r>
          </w:p>
          <w:p>
            <w:pPr>
              <w:pStyle w:val="null3"/>
              <w:ind w:firstLine="640"/>
              <w:jc w:val="both"/>
            </w:pPr>
            <w:r>
              <w:rPr>
                <w:rFonts w:ascii="仿宋_GB2312" w:hAnsi="仿宋_GB2312" w:cs="仿宋_GB2312" w:eastAsia="仿宋_GB2312"/>
                <w:sz w:val="32"/>
              </w:rPr>
              <w:t>协调服务：协调建设、设计、施工等各方关系，及时沟通解决项目实施中的各类问题。</w:t>
            </w:r>
          </w:p>
          <w:p>
            <w:pPr>
              <w:pStyle w:val="null3"/>
              <w:ind w:firstLine="640"/>
              <w:jc w:val="both"/>
            </w:pPr>
            <w:r>
              <w:rPr>
                <w:rFonts w:ascii="仿宋_GB2312" w:hAnsi="仿宋_GB2312" w:cs="仿宋_GB2312" w:eastAsia="仿宋_GB2312"/>
                <w:sz w:val="32"/>
              </w:rPr>
              <w:t>后期服务：质保期内跟踪工程运行情况，及时响应质量问题，督促施工单位履行保修义务。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640"/>
              <w:jc w:val="both"/>
            </w:pPr>
            <w:r>
              <w:rPr>
                <w:rFonts w:ascii="仿宋_GB2312" w:hAnsi="仿宋_GB2312" w:cs="仿宋_GB2312" w:eastAsia="仿宋_GB2312"/>
                <w:sz w:val="32"/>
              </w:rPr>
              <w:t>服务质量、标准、期限、效率等要求</w:t>
            </w:r>
          </w:p>
          <w:p>
            <w:pPr>
              <w:pStyle w:val="null3"/>
              <w:ind w:firstLine="640"/>
              <w:jc w:val="both"/>
            </w:pPr>
            <w:r>
              <w:rPr>
                <w:rFonts w:ascii="仿宋_GB2312" w:hAnsi="仿宋_GB2312" w:cs="仿宋_GB2312" w:eastAsia="仿宋_GB2312"/>
                <w:sz w:val="32"/>
              </w:rPr>
              <w:t>1、中标人需组建现场监理项目部，提供组成监理机构主要成员名单，上述人员均应具有相应监理资格。</w:t>
            </w:r>
          </w:p>
          <w:p>
            <w:pPr>
              <w:pStyle w:val="null3"/>
              <w:ind w:firstLine="640"/>
              <w:jc w:val="both"/>
            </w:pPr>
            <w:r>
              <w:rPr>
                <w:rFonts w:ascii="仿宋_GB2312" w:hAnsi="仿宋_GB2312" w:cs="仿宋_GB2312" w:eastAsia="仿宋_GB2312"/>
                <w:sz w:val="32"/>
              </w:rPr>
              <w:t>2、中标人负责日常监理工作，并编写所有相关监理资料，定期向我单位报告监理工作，并负责本项目工程资料管理等相关工作。</w:t>
            </w:r>
          </w:p>
          <w:p>
            <w:pPr>
              <w:pStyle w:val="null3"/>
              <w:ind w:firstLine="640"/>
              <w:jc w:val="both"/>
            </w:pPr>
            <w:r>
              <w:rPr>
                <w:rFonts w:ascii="仿宋_GB2312" w:hAnsi="仿宋_GB2312" w:cs="仿宋_GB2312" w:eastAsia="仿宋_GB2312"/>
                <w:sz w:val="32"/>
              </w:rPr>
              <w:t>3、中标人负责组织并主持监理例会，与我单位工程技术人员通力合作，共同完成工程现场监理工作。</w:t>
            </w:r>
          </w:p>
          <w:p>
            <w:pPr>
              <w:pStyle w:val="null3"/>
              <w:ind w:firstLine="640"/>
              <w:jc w:val="both"/>
            </w:pPr>
            <w:r>
              <w:rPr>
                <w:rFonts w:ascii="仿宋_GB2312" w:hAnsi="仿宋_GB2312" w:cs="仿宋_GB2312" w:eastAsia="仿宋_GB2312"/>
                <w:sz w:val="32"/>
              </w:rPr>
              <w:t>4、在合同期内或合同终止后，未征得有关方同意，不得泄露与本工程、本合同有关的保密资料在保修期内，若需施工方维修、返工等，中标人应有监理义务。</w:t>
            </w:r>
          </w:p>
          <w:p>
            <w:pPr>
              <w:pStyle w:val="null3"/>
            </w:pPr>
            <w:r>
              <w:rPr>
                <w:rFonts w:ascii="仿宋_GB2312" w:hAnsi="仿宋_GB2312" w:cs="仿宋_GB2312" w:eastAsia="仿宋_GB2312"/>
                <w:sz w:val="32"/>
              </w:rPr>
              <w:t>5、按要求完成本项目所有监理内容。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工程完工后，根据工程情况及监理合同范围，结合项目监理规划和监理细则的要求，由我单位、使用单位组织项目总监及相关人员按照国家行业规范标准和文献资料进行审核、考评。</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2025年12月-2028年12月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工程完工后，根据工程情况及监理合同范围，结合项目监理规划和监理细则的要求，由我单位、使用单位组织项目总监及相关人员按照国家行业规范标准和文献资料进行审核、考评。</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合同签订后，施工期内按照施工进度支付，工程进度50%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工程完工后无质量问题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成竣工验收后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1.满足《中华人民共和国政府采购法》第二十二条规定； 2.落实政府采购政策需满足的资格要求: 本项目专门面向中小企业采购，供应商应为中型、小型或微型企业;(残疾人福利性企业及监狱企业视同为小型微型企业)提供中小企业声明函。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须具备建筑工程或水利水电工程监理乙级及以上资质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人员</w:t>
            </w:r>
          </w:p>
        </w:tc>
        <w:tc>
          <w:tcPr>
            <w:tcW w:type="dxa" w:w="3322"/>
          </w:tcPr>
          <w:p>
            <w:pPr>
              <w:pStyle w:val="null3"/>
            </w:pPr>
            <w:r>
              <w:rPr>
                <w:rFonts w:ascii="仿宋_GB2312" w:hAnsi="仿宋_GB2312" w:cs="仿宋_GB2312" w:eastAsia="仿宋_GB2312"/>
              </w:rPr>
              <w:t>拟派总监理工程师须具备建筑工程或水利水电工程专业国家注册监理工程师执业资格，且无在监理工程;提供无在监理承诺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磋商响应文件签字和盖章满足招标文件的要求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投标（响应）有效期（90日历天）满足磋商文件的要求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供应商磋商报价未出现选择性报价，未超出采购最高限价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w:t>
            </w:r>
          </w:p>
        </w:tc>
        <w:tc>
          <w:tcPr>
            <w:tcW w:type="dxa" w:w="3322"/>
          </w:tcPr>
          <w:p>
            <w:pPr>
              <w:pStyle w:val="null3"/>
            </w:pPr>
            <w:r>
              <w:rPr>
                <w:rFonts w:ascii="仿宋_GB2312" w:hAnsi="仿宋_GB2312" w:cs="仿宋_GB2312" w:eastAsia="仿宋_GB2312"/>
              </w:rPr>
              <w:t>合同履行期满足或优于采购要求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供应商根据项目内容提供监理服务方案，方案包括但不限于工作目标、监理内容、服务方式、监理流程等： ①工作目标理解透彻，监理内容明确且完全满足采购需求，服务方式利于项目实施，监理流程严谨规范的，得12分； ②工作目标理解全面，监理内容满足采购需求，服务方式符合要求，监理流程合理可行，得10分； ③工作目标理解基本符合要求，监理内容基本满足需求，服务方式基本可行，监理流程基本规范，得8分； ④工作目标理解有待提升，监理内容有待完善，服务方式有待改进，监理流程有待提升，得6分； ⑤工作目标理解不完整，监理内容存在缺陷，服务方式难以实施，监理流程混乱，得4分；⑥针对以上方案要求，有1项欠缺的计3分；⑦针对以上方案要求，有2项欠缺的计2分； ⑧针对以上方案要求，有3项欠缺的计1分； ⑨未提供的不得分。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质量控制的方法和措施</w:t>
            </w:r>
          </w:p>
        </w:tc>
        <w:tc>
          <w:tcPr>
            <w:tcW w:type="dxa" w:w="2492"/>
          </w:tcPr>
          <w:p>
            <w:pPr>
              <w:pStyle w:val="null3"/>
            </w:pPr>
            <w:r>
              <w:rPr>
                <w:rFonts w:ascii="仿宋_GB2312" w:hAnsi="仿宋_GB2312" w:cs="仿宋_GB2312" w:eastAsia="仿宋_GB2312"/>
              </w:rPr>
              <w:t>供应商根据项目内容提供质量控制的方法和措施： ①质量控制方法和措施科学严谨、合理可行；控制重点明确，完全满足项目质量控制需求的，得8分； ②质量控制方法和措施全面、完整；能提出部分控制重点，满足项目质量控制需求的，得6分； ③质量控制方法和措施基本可行；控制重点有待明确，基本满足项目质量控制需求的，得4分； ④质量控制方法和措施基本可行；但没有控制重点，不能确保完全满足项目质量控制需求的，得2分； ⑤质量控制方法和措施有待完善；无法满足项目质量控制需求的，得1分；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供应商根据项目内容提供进度控制的方法和措施： ①进度控制的方法和措施科学严谨、合理可行；控制重点明确，完全满足项目进度控制需求的，得8分； ②进度控制的方法和措施全面、完整；能提出部分控制重点，满足项目进度控制需求的，得6分； ③进度控制的方法和措施基本可行；控制重点有待明确，基本满足项目进度控制需求的，得4分； ④进度控制的方法和措施基本可行；但没有控制重点，不能确保完全满足项目进度控制需求的，得2分； ⑤进度控制的方法和措施有待完善；无法满足项目进度控制需求的，得1分；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合同和文档信息管理</w:t>
            </w:r>
          </w:p>
        </w:tc>
        <w:tc>
          <w:tcPr>
            <w:tcW w:type="dxa" w:w="2492"/>
          </w:tcPr>
          <w:p>
            <w:pPr>
              <w:pStyle w:val="null3"/>
            </w:pPr>
            <w:r>
              <w:rPr>
                <w:rFonts w:ascii="仿宋_GB2312" w:hAnsi="仿宋_GB2312" w:cs="仿宋_GB2312" w:eastAsia="仿宋_GB2312"/>
              </w:rPr>
              <w:t>供应商根据项目内容提供合同和文档信息管理方案及措施： ①合同和文档信息管理方案及措施科学严谨、合理可行；管理重点明确、条理清晰，完全满足项目合同和文档信息管理需求的，得8分； ②合同和文档信息管理方案及措施全面、完整；能提出部分管理重点，满足项目合同和文档信息管理需求的，得6分； ③合同和文档信息管理方案及措施基本可行；管理重点有待明确，基本满足项目合同和文档信息管理需求的，得4分； ④合同和文档信息管理方案及措施基本可行；但没有管理重点，不能确保完全满足项目合同和文档信息管理需求的，得2分； ⑤合同和文档信息管理方案及措施有待完善；管理方案没有条理，无法满足项目合同和文档信息管理需求的，得1分；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沟通与协调措施</w:t>
            </w:r>
          </w:p>
        </w:tc>
        <w:tc>
          <w:tcPr>
            <w:tcW w:type="dxa" w:w="2492"/>
          </w:tcPr>
          <w:p>
            <w:pPr>
              <w:pStyle w:val="null3"/>
            </w:pPr>
            <w:r>
              <w:rPr>
                <w:rFonts w:ascii="仿宋_GB2312" w:hAnsi="仿宋_GB2312" w:cs="仿宋_GB2312" w:eastAsia="仿宋_GB2312"/>
              </w:rPr>
              <w:t>供应商根据项目内容提供沟通与协调措施：①沟通与协调措施科学、可行性强；能够确保项目监理过程中沟通协调高效便捷，完全满足项目需求的，得8分； ②沟通与协调措施合理可行；能够确保项目监理过程中沟通协调顺畅，满足项目需求的，得6分； ③沟通与协调措施基本可行；能够确保项目监理过程中沟通协调按部就班正常进行，基本满足项目需求的，得4分； ④沟通与协调措施有待完善，不能确保完全满足项目需求的，得2分； ⑤有沟通与协调措施；但无法保证满足项目需求的，得1分；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供应商针对项目管理提供具体的监理工作制度： ①监理工作制度内容详细完整，能够提供具体的制度措施，且制度措施利于项目实施的得8分； ②监理工作制度满足本项目需求，能够提供合理可行的制度措施得6分； ③监理工作制度内容基本满足本项目需求，未提供制度措施，但不影响项目实施的得4分； ④监理工作制度内容有待完善，不能确保完全满足项目需求的2分； ⑤监理工作制度内容缺陷较多，影响到项目实施的得1分； ⑥未提供的不得分。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供应商根据项目内容提供服务承诺，包括但不限于人员到位情况、与采购人配合情况、其他有利于项目实施的增值服务等： ①服务承诺完整、详细、全面；且人员到位率高、到位及时、能够积极配合采购人，所提供的增值服务有利于项目实施，能够完全满足项目需求的，得5分； ②服务承诺能够完全符合项目需求，人员到位率较高，能够配合采购人，且能提供部分增值服务的，得4分； ③服务承诺基本符合项目需求，人员到位率一般，但基本满足项目需求的，得3分； ④服务承诺有待完善，人员到位率较差，可能影响到项目正常实施的，所提供增值服务与项目实施无关的，得2分； ⑤针对以上方案要求，有1项欠缺的计1分；⑥针对以上方案要求，有2项欠缺的计2分；⑦未提供的不得分。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监理设施、设备、仪器配置</w:t>
            </w:r>
          </w:p>
        </w:tc>
        <w:tc>
          <w:tcPr>
            <w:tcW w:type="dxa" w:w="2492"/>
          </w:tcPr>
          <w:p>
            <w:pPr>
              <w:pStyle w:val="null3"/>
            </w:pPr>
            <w:r>
              <w:rPr>
                <w:rFonts w:ascii="仿宋_GB2312" w:hAnsi="仿宋_GB2312" w:cs="仿宋_GB2312" w:eastAsia="仿宋_GB2312"/>
              </w:rPr>
              <w:t>监理设施、设备、仪器配置符合该项目的建设内容、具体特点和保证项目质量的实际需要。 ①设施设备配置全面，先进，能够满足监理服务需要及项目要求的计8分； ②设施设备配置较合理，针对性一般的计5分； ③设施设备配置欠缺，无法完全满足项目需求的计2分。 ④未提供本项内容不计分。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项目监理机构及其人员组成</w:t>
            </w:r>
          </w:p>
        </w:tc>
        <w:tc>
          <w:tcPr>
            <w:tcW w:type="dxa" w:w="2492"/>
          </w:tcPr>
          <w:p>
            <w:pPr>
              <w:pStyle w:val="null3"/>
            </w:pPr>
            <w:r>
              <w:rPr>
                <w:rFonts w:ascii="仿宋_GB2312" w:hAnsi="仿宋_GB2312" w:cs="仿宋_GB2312" w:eastAsia="仿宋_GB2312"/>
              </w:rPr>
              <w:t>监理团队人员不少于5人 1.项目总监具有建筑工程相关专业中级工程师职称的，得2分；具有建筑工程相关专业高级及以上工程师职称的，得3分，本项满分3分。 2.项目总监近5年内具有一个类似于本项目的监理业绩的，得2分；每增加一个类似业绩加1分，最高得3分。需提供相关业绩的合同复印件，并加盖单位公章作为证明。（业绩合同须体现总监理工程师姓名） 3.根据派驻本工程现场的专业监理工程师的数量、专业配备齐全，岗位职责明确的得[0-4]分，未提供不得分。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 业绩</w:t>
            </w:r>
          </w:p>
        </w:tc>
        <w:tc>
          <w:tcPr>
            <w:tcW w:type="dxa" w:w="2492"/>
          </w:tcPr>
          <w:p>
            <w:pPr>
              <w:pStyle w:val="null3"/>
            </w:pPr>
            <w:r>
              <w:rPr>
                <w:rFonts w:ascii="仿宋_GB2312" w:hAnsi="仿宋_GB2312" w:cs="仿宋_GB2312" w:eastAsia="仿宋_GB2312"/>
              </w:rPr>
              <w:t>近三年的类似业绩证明（2022年1月至今），提供一个类似业绩得1分，最多5分。 注：以监理合同或者中标通知书复印件为准。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磋商报价得分=（磋商基基准价÷最终磋商报价)×价格权值×100。 磋商基准价：最终报价最低的供应商价格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