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版本号：ZCSP-大荔县-2025-0021820251211002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大荔县2025年度高素质农民培育项目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ZCSP-大荔县-2025-00218</w:t>
      </w:r>
      <w:r>
        <w:br/>
      </w:r>
      <w:r>
        <w:br/>
      </w:r>
      <w:r>
        <w:br/>
      </w:r>
    </w:p>
    <w:p>
      <w:pPr>
        <w:pStyle w:val="null3"/>
        <w:jc w:val="center"/>
        <w:outlineLvl w:val="2"/>
      </w:pPr>
      <w:r>
        <w:rPr>
          <w:rFonts w:ascii="仿宋_GB2312" w:hAnsi="仿宋_GB2312" w:cs="仿宋_GB2312" w:eastAsia="仿宋_GB2312"/>
          <w:sz w:val="28"/>
          <w:b/>
        </w:rPr>
        <w:t>大荔县农业农村局</w:t>
      </w:r>
    </w:p>
    <w:p>
      <w:pPr>
        <w:pStyle w:val="null3"/>
        <w:jc w:val="center"/>
        <w:outlineLvl w:val="2"/>
      </w:pPr>
      <w:r>
        <w:rPr>
          <w:rFonts w:ascii="仿宋_GB2312" w:hAnsi="仿宋_GB2312" w:cs="仿宋_GB2312" w:eastAsia="仿宋_GB2312"/>
          <w:sz w:val="28"/>
          <w:b/>
        </w:rPr>
        <w:t>德煜项目管理有限公司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德煜项目管理有限公司</w:t>
      </w:r>
      <w:r>
        <w:rPr>
          <w:rFonts w:ascii="仿宋_GB2312" w:hAnsi="仿宋_GB2312" w:cs="仿宋_GB2312" w:eastAsia="仿宋_GB2312"/>
        </w:rPr>
        <w:t>（以下简称“代理机构”）受</w:t>
      </w:r>
      <w:r>
        <w:rPr>
          <w:rFonts w:ascii="仿宋_GB2312" w:hAnsi="仿宋_GB2312" w:cs="仿宋_GB2312" w:eastAsia="仿宋_GB2312"/>
        </w:rPr>
        <w:t>大荔县农业农村局</w:t>
      </w:r>
      <w:r>
        <w:rPr>
          <w:rFonts w:ascii="仿宋_GB2312" w:hAnsi="仿宋_GB2312" w:cs="仿宋_GB2312" w:eastAsia="仿宋_GB2312"/>
        </w:rPr>
        <w:t>委托，拟对</w:t>
      </w:r>
      <w:r>
        <w:rPr>
          <w:rFonts w:ascii="仿宋_GB2312" w:hAnsi="仿宋_GB2312" w:cs="仿宋_GB2312" w:eastAsia="仿宋_GB2312"/>
        </w:rPr>
        <w:t>大荔县2025年度高素质农民培育项目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ZCSP-大荔县-2025-00218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大荔县2025年度高素质农民培育项目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计划组织开展农机化技能培训，培育高水平农机手100人，围绕农业机械措施促进粮油单产提升与机收减损农机抗灾救灾、高质量机播、新型农机具应用，以及无人机操作，通过实操实训和作业演练，熟练掌握农机和无人机操作技能，以提高农业机械化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1、营业执照等证明文件：具备独立承担民事责任的能力，具有法人、事业法人、其它组织的营业执照等证明文件；</w:t>
      </w:r>
    </w:p>
    <w:p>
      <w:pPr>
        <w:pStyle w:val="null3"/>
      </w:pPr>
      <w:r>
        <w:rPr>
          <w:rFonts w:ascii="仿宋_GB2312" w:hAnsi="仿宋_GB2312" w:cs="仿宋_GB2312" w:eastAsia="仿宋_GB2312"/>
        </w:rPr>
        <w:t>2、法定代表人授权委托书或法定代表人身份证明书：法定代表人授权书及被授权人身份证复印件加盖公章(法定代表人直接参加投标，只须提交其身份证及其复印件）；</w:t>
      </w:r>
    </w:p>
    <w:p>
      <w:pPr>
        <w:pStyle w:val="null3"/>
      </w:pPr>
      <w:r>
        <w:rPr>
          <w:rFonts w:ascii="仿宋_GB2312" w:hAnsi="仿宋_GB2312" w:cs="仿宋_GB2312" w:eastAsia="仿宋_GB2312"/>
        </w:rPr>
        <w:t>3、财务状况报告：提供经审计的2024年度的财务报告或开标前六个月内其基本账户开户银行出具的资信证明（成立时间至提交投标文件截止时间不足一年的可提供成立后任意时段的资产负债表）；其他组织和自然人提供银行出具的资信证明或财务报表；</w:t>
      </w:r>
    </w:p>
    <w:p>
      <w:pPr>
        <w:pStyle w:val="null3"/>
      </w:pPr>
      <w:r>
        <w:rPr>
          <w:rFonts w:ascii="仿宋_GB2312" w:hAnsi="仿宋_GB2312" w:cs="仿宋_GB2312" w:eastAsia="仿宋_GB2312"/>
        </w:rPr>
        <w:t>4、税收缴纳证明：提供2024年度至今已缴纳的至少一个月的纳税证明或完税证明（任意税种），依法免税的单位应提供相关证明材料；</w:t>
      </w:r>
    </w:p>
    <w:p>
      <w:pPr>
        <w:pStyle w:val="null3"/>
      </w:pPr>
      <w:r>
        <w:rPr>
          <w:rFonts w:ascii="仿宋_GB2312" w:hAnsi="仿宋_GB2312" w:cs="仿宋_GB2312" w:eastAsia="仿宋_GB2312"/>
        </w:rPr>
        <w:t>5、社会保障资金缴纳证明：提供2024年度至今已缴存的至少一个月的社会保障资金缴存凭证或社保机构开具的社会保险参保缴费情况证明，依法不需要缴纳社会保障资金的单位应提供相关证明材料；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6、书面声明：①提供参加政府采购活动前3年内在经营活动中没有重大违法记录的书面声明；②提供具有履行本合同所必需的设备和专业技术能力的声明；</w:t>
      </w:r>
    </w:p>
    <w:p>
      <w:pPr>
        <w:pStyle w:val="null3"/>
      </w:pPr>
      <w:r>
        <w:rPr>
          <w:rFonts w:ascii="仿宋_GB2312" w:hAnsi="仿宋_GB2312" w:cs="仿宋_GB2312" w:eastAsia="仿宋_GB2312"/>
        </w:rPr>
        <w:t>7、查询及使用信用记录：投标人不得为“信用中国”网站（www.creditchina.gov.cn）中列入失信被执行人和重大税收违法案件当事人名单的投标人，不得为中国政府采购网（www.ccgp.gov.cn）政府采购严重违法失信行为记录名单中被财政部门禁止参加政府采购活动投标人；（提供查询结果网页截图并加盖投标人公章）；</w:t>
      </w:r>
    </w:p>
    <w:p>
      <w:pPr>
        <w:pStyle w:val="null3"/>
      </w:pPr>
      <w:r>
        <w:rPr>
          <w:rFonts w:ascii="仿宋_GB2312" w:hAnsi="仿宋_GB2312" w:cs="仿宋_GB2312" w:eastAsia="仿宋_GB2312"/>
        </w:rPr>
        <w:t>8、单位负责人为同一人或者存在直接控股、管理关系的不同投标人，不得参加同一合同项下的政府采购活动：须提供企业关系关联承诺书；</w:t>
      </w:r>
    </w:p>
    <w:p>
      <w:pPr>
        <w:pStyle w:val="null3"/>
      </w:pPr>
      <w:r>
        <w:rPr>
          <w:rFonts w:ascii="仿宋_GB2312" w:hAnsi="仿宋_GB2312" w:cs="仿宋_GB2312" w:eastAsia="仿宋_GB2312"/>
        </w:rPr>
        <w:t>9、本项目不接受联合体投标：本项目不接受联合体投标，须提供非联合体声明或承诺。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大荔县北环路78号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13891466662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德煜项目管理有限公司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陕西省西安市碑林区长安北路南稍门十字东南角大话南门1幢1单元19层11908室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王燕燕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18109251231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王小菊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13991675585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 （发改价格﹝2015﹞299号）的要求，参照计价格﹝2002﹞ 1980号、发改价格﹝2011﹞534号文件的计费标准，以中标（成交）价为基数计算，按照标准收取。 代理费缴纳账号：开户名称：德煜项目管理有限公司 开户行：中国银行股份有限公司西安市经济技术开发区支行 账号：102877650720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大荔县农业农村局</w:t>
      </w:r>
      <w:r>
        <w:rPr>
          <w:rFonts w:ascii="仿宋_GB2312" w:hAnsi="仿宋_GB2312" w:cs="仿宋_GB2312" w:eastAsia="仿宋_GB2312"/>
        </w:rPr>
        <w:t>和</w:t>
      </w:r>
      <w:r>
        <w:rPr>
          <w:rFonts w:ascii="仿宋_GB2312" w:hAnsi="仿宋_GB2312" w:cs="仿宋_GB2312" w:eastAsia="仿宋_GB2312"/>
        </w:rPr>
        <w:t>德煜项目管理有限公司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德煜项目管理有限公司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德煜项目管理有限公司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（1）符合国家相关法律法规、相关标准、行业标准及政策要求； （2）验收方式：按照合同约定。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德煜项目管理有限公司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德煜项目管理有限公司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德煜项目管理有限公司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联系人：王燕燕</w:t>
      </w:r>
    </w:p>
    <w:p>
      <w:pPr>
        <w:pStyle w:val="null3"/>
      </w:pPr>
      <w:r>
        <w:rPr>
          <w:rFonts w:ascii="仿宋_GB2312" w:hAnsi="仿宋_GB2312" w:cs="仿宋_GB2312" w:eastAsia="仿宋_GB2312"/>
        </w:rPr>
        <w:t>联系电话：18109251231</w:t>
      </w:r>
    </w:p>
    <w:p>
      <w:pPr>
        <w:pStyle w:val="null3"/>
      </w:pPr>
      <w:r>
        <w:rPr>
          <w:rFonts w:ascii="仿宋_GB2312" w:hAnsi="仿宋_GB2312" w:cs="仿宋_GB2312" w:eastAsia="仿宋_GB2312"/>
        </w:rPr>
        <w:t>地址：陕西省西安市碑林区长安北路南稍门十字东南角大话南门1幢1单元19层11908室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计划组织开展农机化技能培训，培育高水平农机手100人，围绕农业机械措施促进粮油单产提升与机收减损农机抗灾救灾、高质量机播、新型农机具应用，以及无人机操作，通过实操实训和作业演练，熟练掌握农机和无人机操作技能，以提高农业机械化水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大荔县2025年度高素质农民培育项目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标的名称：大荔县2025年度高素质农民培育项目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32"/>
                <w:b/>
              </w:rPr>
              <w:t>一、需执行的国家相关标准、行业标准或者其他标准、规范</w:t>
            </w:r>
          </w:p>
          <w:p>
            <w:pPr>
              <w:pStyle w:val="null3"/>
              <w:ind w:firstLine="640"/>
              <w:jc w:val="left"/>
            </w:pPr>
            <w:r>
              <w:rPr>
                <w:rFonts w:ascii="仿宋_GB2312" w:hAnsi="仿宋_GB2312" w:cs="仿宋_GB2312" w:eastAsia="仿宋_GB2312"/>
                <w:sz w:val="32"/>
                <w:shd w:fill="FFFFFF" w:val="clear"/>
              </w:rPr>
              <w:t>采购人根据采购需求执行国家农机类行业规范，以及有关规范和规定。</w:t>
            </w:r>
          </w:p>
          <w:p>
            <w:pPr>
              <w:pStyle w:val="null3"/>
              <w:ind w:firstLine="640"/>
              <w:jc w:val="left"/>
            </w:pPr>
            <w:r>
              <w:rPr>
                <w:rFonts w:ascii="仿宋_GB2312" w:hAnsi="仿宋_GB2312" w:cs="仿宋_GB2312" w:eastAsia="仿宋_GB2312"/>
                <w:sz w:val="32"/>
                <w:shd w:fill="FFFFFF" w:val="clear"/>
              </w:rPr>
              <w:t>二、</w:t>
            </w:r>
            <w:r>
              <w:rPr>
                <w:rFonts w:ascii="仿宋_GB2312" w:hAnsi="仿宋_GB2312" w:cs="仿宋_GB2312" w:eastAsia="仿宋_GB2312"/>
                <w:sz w:val="32"/>
                <w:b/>
              </w:rPr>
              <w:t>采购标的数量和规格</w:t>
            </w:r>
          </w:p>
          <w:p>
            <w:pPr>
              <w:pStyle w:val="null3"/>
              <w:ind w:firstLine="640"/>
              <w:jc w:val="both"/>
            </w:pPr>
            <w:r>
              <w:rPr>
                <w:rFonts w:ascii="仿宋_GB2312" w:hAnsi="仿宋_GB2312" w:cs="仿宋_GB2312" w:eastAsia="仿宋_GB2312"/>
                <w:sz w:val="32"/>
              </w:rPr>
              <w:t>围绕支撑农业机械化全程全面高质量发展和提升农机作业服务质量，面向专业农机手、农机大户和农机作业服务组织带头人，重点围绕粮食油作物高产量机播、高效飞防植保、机收减损、农机抗灾救灾、低空经济场景应用和农机安全生产技术等技术技能，注重实操作业演练，着力培育一批高素质农机手、农业生产无人机飞手，为农业现代化提供坚实的人才支撑。</w:t>
            </w:r>
          </w:p>
          <w:p>
            <w:pPr>
              <w:pStyle w:val="null3"/>
              <w:ind w:firstLine="640"/>
              <w:jc w:val="both"/>
            </w:pPr>
            <w:r>
              <w:rPr>
                <w:rFonts w:ascii="仿宋_GB2312" w:hAnsi="仿宋_GB2312" w:cs="仿宋_GB2312" w:eastAsia="仿宋_GB2312"/>
                <w:sz w:val="32"/>
              </w:rPr>
              <w:t>项目计划组织开展农机手技能培训，</w:t>
            </w:r>
            <w:r>
              <w:rPr>
                <w:rFonts w:ascii="仿宋_GB2312" w:hAnsi="仿宋_GB2312" w:cs="仿宋_GB2312" w:eastAsia="仿宋_GB2312"/>
                <w:sz w:val="32"/>
              </w:rPr>
              <w:t>计划</w:t>
            </w:r>
            <w:r>
              <w:rPr>
                <w:rFonts w:ascii="仿宋_GB2312" w:hAnsi="仿宋_GB2312" w:cs="仿宋_GB2312" w:eastAsia="仿宋_GB2312"/>
                <w:sz w:val="32"/>
              </w:rPr>
              <w:t>在全县培训专业农机手、农机大户和农机作业服务组织带头人</w:t>
            </w:r>
            <w:r>
              <w:rPr>
                <w:rFonts w:ascii="仿宋_GB2312" w:hAnsi="仿宋_GB2312" w:cs="仿宋_GB2312" w:eastAsia="仿宋_GB2312"/>
                <w:sz w:val="32"/>
              </w:rPr>
              <w:t>100人。</w:t>
            </w:r>
          </w:p>
          <w:p>
            <w:pPr>
              <w:pStyle w:val="null3"/>
              <w:ind w:firstLine="964"/>
              <w:jc w:val="left"/>
            </w:pPr>
            <w:r>
              <w:rPr>
                <w:rFonts w:ascii="仿宋_GB2312" w:hAnsi="仿宋_GB2312" w:cs="仿宋_GB2312" w:eastAsia="仿宋_GB2312"/>
                <w:sz w:val="32"/>
                <w:b/>
              </w:rPr>
              <w:t>三、</w:t>
            </w:r>
            <w:r>
              <w:rPr>
                <w:rFonts w:ascii="仿宋_GB2312" w:hAnsi="仿宋_GB2312" w:cs="仿宋_GB2312" w:eastAsia="仿宋_GB2312"/>
                <w:sz w:val="32"/>
                <w:b/>
              </w:rPr>
              <w:t>质量、安全、技术规格、物理特性等要求</w:t>
            </w:r>
            <w:r>
              <w:rPr>
                <w:rFonts w:ascii="仿宋_GB2312" w:hAnsi="仿宋_GB2312" w:cs="仿宋_GB2312" w:eastAsia="仿宋_GB2312"/>
                <w:sz w:val="21"/>
                <w:b/>
              </w:rPr>
              <w:t xml:space="preserve"> </w:t>
            </w:r>
          </w:p>
          <w:p>
            <w:pPr>
              <w:pStyle w:val="null3"/>
              <w:ind w:firstLine="668"/>
              <w:jc w:val="left"/>
            </w:pPr>
            <w:r>
              <w:rPr>
                <w:rFonts w:ascii="仿宋_GB2312" w:hAnsi="仿宋_GB2312" w:cs="仿宋_GB2312" w:eastAsia="仿宋_GB2312"/>
                <w:sz w:val="32"/>
                <w:shd w:fill="FFFFFF" w:val="clear"/>
              </w:rPr>
              <w:t>要求本次培训</w:t>
            </w:r>
            <w:r>
              <w:rPr>
                <w:rFonts w:ascii="仿宋_GB2312" w:hAnsi="仿宋_GB2312" w:cs="仿宋_GB2312" w:eastAsia="仿宋_GB2312"/>
                <w:sz w:val="32"/>
                <w:shd w:fill="FFFFFF" w:val="clear"/>
              </w:rPr>
              <w:t>以实践教学为主，每个培训班学员人数不超过</w:t>
            </w:r>
            <w:r>
              <w:rPr>
                <w:rFonts w:ascii="仿宋_GB2312" w:hAnsi="仿宋_GB2312" w:cs="仿宋_GB2312" w:eastAsia="仿宋_GB2312"/>
                <w:sz w:val="32"/>
                <w:shd w:fill="FFFFFF" w:val="clear"/>
              </w:rPr>
              <w:t>50人，每班总学时不低于80个学时。其中综合素养课不低于总学时的10%，专业技能课不低于总学时的70%,能力拓展课不高于总学时的20%。线上学习不高于总学时的15%,实践教学不低于专业技能课时的50%。</w:t>
            </w:r>
          </w:p>
          <w:p>
            <w:pPr>
              <w:pStyle w:val="null3"/>
              <w:ind w:firstLine="643"/>
              <w:jc w:val="both"/>
            </w:pPr>
            <w:r>
              <w:rPr>
                <w:rFonts w:ascii="仿宋_GB2312" w:hAnsi="仿宋_GB2312" w:cs="仿宋_GB2312" w:eastAsia="仿宋_GB2312"/>
                <w:sz w:val="32"/>
                <w:b/>
              </w:rPr>
              <w:t>四、</w:t>
            </w:r>
            <w:r>
              <w:rPr>
                <w:rFonts w:ascii="仿宋_GB2312" w:hAnsi="仿宋_GB2312" w:cs="仿宋_GB2312" w:eastAsia="仿宋_GB2312"/>
                <w:sz w:val="32"/>
                <w:b/>
              </w:rPr>
              <w:t>服务标准、期限、效率等要求</w:t>
            </w:r>
          </w:p>
          <w:p>
            <w:pPr>
              <w:pStyle w:val="null3"/>
              <w:ind w:firstLine="668"/>
              <w:jc w:val="both"/>
            </w:pPr>
            <w:r>
              <w:rPr>
                <w:rFonts w:ascii="仿宋_GB2312" w:hAnsi="仿宋_GB2312" w:cs="仿宋_GB2312" w:eastAsia="仿宋_GB2312"/>
                <w:sz w:val="32"/>
                <w:shd w:fill="FFFFFF" w:val="clear"/>
              </w:rPr>
              <w:t>1.质量标准</w:t>
            </w:r>
          </w:p>
          <w:p>
            <w:pPr>
              <w:pStyle w:val="null3"/>
              <w:ind w:firstLine="668"/>
              <w:jc w:val="both"/>
            </w:pPr>
            <w:r>
              <w:rPr>
                <w:rFonts w:ascii="仿宋_GB2312" w:hAnsi="仿宋_GB2312" w:cs="仿宋_GB2312" w:eastAsia="仿宋_GB2312"/>
                <w:sz w:val="32"/>
                <w:shd w:fill="FFFFFF" w:val="clear"/>
              </w:rPr>
              <w:t>符合国家标准、行业标准以及有关技术规范要求。所交付成果应严格按照国家最新发布的规范标准执行。</w:t>
            </w:r>
          </w:p>
          <w:p>
            <w:pPr>
              <w:pStyle w:val="null3"/>
              <w:ind w:firstLine="668"/>
              <w:jc w:val="both"/>
            </w:pPr>
            <w:r>
              <w:rPr>
                <w:rFonts w:ascii="仿宋_GB2312" w:hAnsi="仿宋_GB2312" w:cs="仿宋_GB2312" w:eastAsia="仿宋_GB2312"/>
                <w:sz w:val="32"/>
                <w:shd w:fill="FFFFFF" w:val="clear"/>
              </w:rPr>
              <w:t>2.服务期限</w:t>
            </w:r>
          </w:p>
          <w:p>
            <w:pPr>
              <w:pStyle w:val="null3"/>
              <w:ind w:firstLine="668"/>
              <w:jc w:val="both"/>
            </w:pPr>
            <w:r>
              <w:rPr>
                <w:rFonts w:ascii="仿宋_GB2312" w:hAnsi="仿宋_GB2312" w:cs="仿宋_GB2312" w:eastAsia="仿宋_GB2312"/>
                <w:sz w:val="32"/>
                <w:shd w:fill="FFFFFF" w:val="clear"/>
              </w:rPr>
              <w:t>服务期限：</w:t>
            </w:r>
            <w:r>
              <w:rPr>
                <w:rFonts w:ascii="仿宋_GB2312" w:hAnsi="仿宋_GB2312" w:cs="仿宋_GB2312" w:eastAsia="仿宋_GB2312"/>
                <w:sz w:val="32"/>
              </w:rPr>
              <w:t>自合同签订之日起</w:t>
            </w:r>
            <w:r>
              <w:rPr>
                <w:rFonts w:ascii="仿宋_GB2312" w:hAnsi="仿宋_GB2312" w:cs="仿宋_GB2312" w:eastAsia="仿宋_GB2312"/>
                <w:sz w:val="32"/>
              </w:rPr>
              <w:t>30日历日内完成</w:t>
            </w:r>
          </w:p>
          <w:p>
            <w:pPr>
              <w:pStyle w:val="null3"/>
              <w:ind w:firstLine="643"/>
              <w:jc w:val="both"/>
            </w:pPr>
            <w:r>
              <w:rPr>
                <w:rFonts w:ascii="仿宋_GB2312" w:hAnsi="仿宋_GB2312" w:cs="仿宋_GB2312" w:eastAsia="仿宋_GB2312"/>
                <w:sz w:val="32"/>
                <w:b/>
              </w:rPr>
              <w:t>五、验收标准</w:t>
            </w:r>
          </w:p>
          <w:p>
            <w:pPr>
              <w:pStyle w:val="null3"/>
              <w:ind w:firstLine="668"/>
              <w:jc w:val="both"/>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1）符合国家相关法律法规、相关标准、行业标准及政策要求；</w:t>
            </w:r>
          </w:p>
          <w:p>
            <w:pPr>
              <w:pStyle w:val="null3"/>
              <w:ind w:firstLine="668"/>
              <w:jc w:val="both"/>
            </w:pPr>
            <w:r>
              <w:rPr>
                <w:rFonts w:ascii="仿宋_GB2312" w:hAnsi="仿宋_GB2312" w:cs="仿宋_GB2312" w:eastAsia="仿宋_GB2312"/>
                <w:sz w:val="32"/>
                <w:shd w:fill="FFFFFF" w:val="clear"/>
              </w:rPr>
              <w:t>（</w:t>
            </w:r>
            <w:r>
              <w:rPr>
                <w:rFonts w:ascii="仿宋_GB2312" w:hAnsi="仿宋_GB2312" w:cs="仿宋_GB2312" w:eastAsia="仿宋_GB2312"/>
                <w:sz w:val="32"/>
                <w:shd w:fill="FFFFFF" w:val="clear"/>
              </w:rPr>
              <w:t>2）验收方式：按照合同约定。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符合人员配置要求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符合设施设备要求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自合同签订之日起30日历日内完成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（1）符合国家相关法律法规、相关标准、行业标准及政策要求； （2）验收方式：按照合同约定。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服务完成并验收合格后一次性付清</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1.按《中华人民共和国政府采购法》、《中华人民共和国民法典》中的相关条款执行。 2.未按合同或招标文件要求提供服务或服务质量不能满足招标文件技术要求，甲方有权终止合同，并对乙方违约行为进行追究。 3.乙方的投标文件为签订正式书面合同书不可分割的部分，乙方应履行相应的责任。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中标供应商在中标结果公告发布后3个工作日内提供叁套纸质投标文件（经编标工具生成的文件直接打印并加盖公章）， 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采购包1投标文件格式.docx 中小企业声明函 残疾人福利性单位声明函 质疑函.docx 供应商应提交的相关资格证明材料 响应函 监狱企业的证明文件 投诉书.docx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采购包1投标文件格式.docx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采购包1投标文件格式.docx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具备独立承担民事责任的能力，具有法人、事业法人、其它组织的营业执照等证明文件；</w:t>
            </w:r>
          </w:p>
        </w:tc>
        <w:tc>
          <w:tcPr>
            <w:tcW w:type="dxa" w:w="1661"/>
          </w:tcPr>
          <w:p>
            <w:pPr>
              <w:pStyle w:val="null3"/>
            </w:pPr>
            <w:r>
              <w:rPr>
                <w:rFonts w:ascii="仿宋_GB2312" w:hAnsi="仿宋_GB2312" w:cs="仿宋_GB2312" w:eastAsia="仿宋_GB2312"/>
              </w:rPr>
              <w:t>响应文件封面 采购包1投标文件格式.docx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法定代表人授权委托书或法定代表人身份证明书</w:t>
            </w:r>
          </w:p>
        </w:tc>
        <w:tc>
          <w:tcPr>
            <w:tcW w:type="dxa" w:w="3322"/>
          </w:tcPr>
          <w:p>
            <w:pPr>
              <w:pStyle w:val="null3"/>
            </w:pPr>
            <w:r>
              <w:rPr>
                <w:rFonts w:ascii="仿宋_GB2312" w:hAnsi="仿宋_GB2312" w:cs="仿宋_GB2312" w:eastAsia="仿宋_GB2312"/>
              </w:rPr>
              <w:t>法定代表人授权书及被授权人身份证复印件加盖公章(法定代表人直接参加投标，只须提交其身份证及其复印件）；</w:t>
            </w:r>
          </w:p>
        </w:tc>
        <w:tc>
          <w:tcPr>
            <w:tcW w:type="dxa" w:w="1661"/>
          </w:tcPr>
          <w:p>
            <w:pPr>
              <w:pStyle w:val="null3"/>
            </w:pPr>
            <w:r>
              <w:rPr>
                <w:rFonts w:ascii="仿宋_GB2312" w:hAnsi="仿宋_GB2312" w:cs="仿宋_GB2312" w:eastAsia="仿宋_GB2312"/>
              </w:rPr>
              <w:t>响应文件封面 采购包1投标文件格式.docx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开标前六个月内其基本账户开户银行出具的资信证明（成立时间至提交投标文件截止时间不足一年的可提供成立后任意时段的资产负债表）；其他组织和自然人提供银行出具的资信证明或财务报表；</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提供2024年度至今已缴纳的至少一个月的纳税证明或完税证明（任意税种），依法免税的单位应提供相关证明材料；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提供2024年度至今已缴存的至少一个月的社会保障资金缴存凭证或社保机构开具的社会保险参保缴费情况证明，依法不需要缴纳社会保障资金的单位应提供相关证明材料；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①提供参加政府采购活动前3年内在经营活动中没有重大违法记录的书面声明；②提供具有履行本合同所必需的设备和专业技术能力的声明；</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查询及使用信用记录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案件当事人名单的投标人，不得为中国政府采购网（www.ccgp.gov.cn）政府采购严重违法失信行为记录名单中被财政部门禁止参加政府采购活动投标人；（提供查询结果网页截图并加盖投标人公章）；</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pPr>
            <w:r>
              <w:rPr>
                <w:rFonts w:ascii="仿宋_GB2312" w:hAnsi="仿宋_GB2312" w:cs="仿宋_GB2312" w:eastAsia="仿宋_GB2312"/>
              </w:rPr>
              <w:t>须提供企业关系关联承诺书；</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本项目不接受联合体投标，须提供非联合体声明或承诺。</w:t>
            </w:r>
          </w:p>
        </w:tc>
        <w:tc>
          <w:tcPr>
            <w:tcW w:type="dxa" w:w="1661"/>
          </w:tcPr>
          <w:p>
            <w:pPr>
              <w:pStyle w:val="null3"/>
            </w:pPr>
            <w:r>
              <w:rPr>
                <w:rFonts w:ascii="仿宋_GB2312" w:hAnsi="仿宋_GB2312" w:cs="仿宋_GB2312" w:eastAsia="仿宋_GB2312"/>
              </w:rPr>
              <w:t>采购包1投标文件格式.docx 中小企业声明函 残疾人福利性单位声明函 供应商应提交的相关资格证明材料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投标文件有效期满足招标文件要求</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 且报价不超过最高限价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采购包1投标文件格式.docx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投标文件按照招标文件要求进行签章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质疑函.docx 供应商应提交的相关资格证明材料 报价表 投诉书.docx 响应文件封面 采购包1投标文件格式.docx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包含不限于：①培训项目背景分析及工作思路；②培训目标；③培训计划；④培训流程；⑤培训实施细则等。 以上内容无缺项，专门针对本项目编制，符合本项目实际情况，内容全面详细，且条理清晰、准确、措施合理化能够 保障项目顺利实施的得20分。每小项缺项或者内容非针对于本项目的扣4分，每小项有一处缺陷的扣1分,扣完为止。（缺陷是指：内容不完整、条理不清晰、缺少关键点、方案不具体、针对性不强、内容无紧扣项目实际情况、表述前后不一致及其他不利于项目实施的情形等 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培训课程</w:t>
            </w:r>
          </w:p>
        </w:tc>
        <w:tc>
          <w:tcPr>
            <w:tcW w:type="dxa" w:w="2492"/>
          </w:tcPr>
          <w:p>
            <w:pPr>
              <w:pStyle w:val="null3"/>
            </w:pPr>
            <w:r>
              <w:rPr>
                <w:rFonts w:ascii="仿宋_GB2312" w:hAnsi="仿宋_GB2312" w:cs="仿宋_GB2312" w:eastAsia="仿宋_GB2312"/>
              </w:rPr>
              <w:t>包含不限于：①培训教学体系；②培训教学方式；③培训过程安全措施 以上内容无缺项，专门针对本项目编制，符合本项目实际情况，内容全面详细，且条理清晰、准确、措施合理化能够 保障项目顺利实施的得15分。每小项缺项或者内容非针对于本项目的扣5分，每小项有一处缺陷的扣1分,扣完为止。（缺陷是指：内容不完整、条理不清晰、缺少关键点、方案不具体、针对性不强、内容无紧扣项目实际情况、表述前后不一致及其他不利于项目实施的情形等 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项目组织机构人员</w:t>
            </w:r>
          </w:p>
        </w:tc>
        <w:tc>
          <w:tcPr>
            <w:tcW w:type="dxa" w:w="2492"/>
          </w:tcPr>
          <w:p>
            <w:pPr>
              <w:pStyle w:val="null3"/>
            </w:pPr>
            <w:r>
              <w:rPr>
                <w:rFonts w:ascii="仿宋_GB2312" w:hAnsi="仿宋_GB2312" w:cs="仿宋_GB2312" w:eastAsia="仿宋_GB2312"/>
              </w:rPr>
              <w:t>包含不限于：①项目组织管理机构设置；②培训师资力量，以上内容无缺项，专门针对本项目编制，符合本项目实际情况，内容全面详细，且条理清晰、准确、措施合理化能够 保障项目顺利实施的得10分。每小项缺项或者内容非针对于本项目的扣5分，每小项有一处缺陷的扣1分,扣完为止。（缺陷是指：内容不完整、条理不清晰、缺少关键点、方案不具体、针对性不强、内容无紧扣项目实际情况、表述前后不一致及其他不利于项目实施的情形等 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包含不限于：①规章制度；②人员管理方法；③团队监管机制等。以上内容无缺项，专门针对本项目编制，符合本项目实际情况，内容全面详细，且条理清晰、准确、措施合理化能够 保障项目顺利实施的得12分。每小项缺项或者内容非针对于本项目的扣4分，每小项有一处缺陷的扣1分,扣完为止。（缺陷是指：内容不完整、条理不清晰、缺少关键点、方案不具体、针对性不强、内容无紧扣项目实际情况、表述前后不一致及其他不利于项目实施的情形等 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 措施</w:t>
            </w:r>
          </w:p>
        </w:tc>
        <w:tc>
          <w:tcPr>
            <w:tcW w:type="dxa" w:w="2492"/>
          </w:tcPr>
          <w:p>
            <w:pPr>
              <w:pStyle w:val="null3"/>
            </w:pPr>
            <w:r>
              <w:rPr>
                <w:rFonts w:ascii="仿宋_GB2312" w:hAnsi="仿宋_GB2312" w:cs="仿宋_GB2312" w:eastAsia="仿宋_GB2312"/>
              </w:rPr>
              <w:t>包含不限于：①培训质量的保证；②培训进度的保证；③重难点分析及预期解决措施；以上内容无缺项，专门针对本项目编制，符合本项目实际情况，内容全面详细，且条理清晰、准确、措施合理化能够 保障项目顺利实施的得12分。每小项缺项或者内容非针对于本项目的扣4分，每小项有一处缺陷的扣1分,扣完为止。（缺陷是指：内容不完整、条理不清晰、缺少关键点、方案不具体、针对性不强、内容无紧扣项目实际情况、表述前后不一致及其他不利于项目实施的情形等 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应急管理措施</w:t>
            </w:r>
          </w:p>
        </w:tc>
        <w:tc>
          <w:tcPr>
            <w:tcW w:type="dxa" w:w="2492"/>
          </w:tcPr>
          <w:p>
            <w:pPr>
              <w:pStyle w:val="null3"/>
            </w:pPr>
            <w:r>
              <w:rPr>
                <w:rFonts w:ascii="仿宋_GB2312" w:hAnsi="仿宋_GB2312" w:cs="仿宋_GB2312" w:eastAsia="仿宋_GB2312"/>
              </w:rPr>
              <w:t>包含不限于：①应急管理方案②突发应急事件的人员配备、响应时间；以上内容无缺项，专门针对本项目编制，符合本项目实际情况，内容全面详细，且条理清晰、准确、措施合理化能够保障项目顺利实施的得8分。每小项缺项或者内容非针对于本项目的扣4分，每小项有一处缺陷的扣1分,扣完为止。（缺陷是指：内容不完整、条理不清晰、缺少关键点、方案不具体、针对性不强、内容无紧扣项目实际情况、表述前后不一致及其他不利于项目实施的情形等 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包含不限于：①如何保证项目顺利实施；②如何提升培训质量；以上内容无缺项，专门针对本项目编制，符合本项目实际情况，内容全面详细，且条理清晰、准确、措施合理化能够保障项目顺利实施的得8分。每小项缺项或者内容非针对于本项目的扣4分，每小项有一处缺陷的扣1分,扣完为止。（缺陷是指：内容不完整、条理不清晰、缺少关键点、方案不具体、针对性不强、内容无紧扣项目实际情况、表述前后不一致及其他不利于项目实施的情形等 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 年 11月至今类似业绩，磋商文件中附有其加盖公章的业绩证明材料（以合同为准，可提供关键页），每提供一个合同计2.5分，满分5分。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满足磋商文件要求且磋商价格最低的报价为磋商基准价，其价格分为满分。其他供应商的价格分统一按照下列公式计算： 磋商报价得分=(磋商基准价／最后磋商报价)×10%×100。 注：符合政府采购政策的供应商价格扣除见评标办法。</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详见附件：采购包1投标文件格式.docx</w:t>
      </w:r>
    </w:p>
    <w:p>
      <w:pPr>
        <w:pStyle w:val="null3"/>
        <w:ind w:firstLine="960"/>
      </w:pPr>
      <w:r>
        <w:rPr>
          <w:rFonts w:ascii="仿宋_GB2312" w:hAnsi="仿宋_GB2312" w:cs="仿宋_GB2312" w:eastAsia="仿宋_GB2312"/>
        </w:rPr>
        <w:t>详见附件：投诉书.docx</w:t>
      </w:r>
    </w:p>
    <w:p>
      <w:pPr>
        <w:pStyle w:val="null3"/>
        <w:ind w:firstLine="960"/>
      </w:pPr>
      <w:r>
        <w:rPr>
          <w:rFonts w:ascii="仿宋_GB2312" w:hAnsi="仿宋_GB2312" w:cs="仿宋_GB2312" w:eastAsia="仿宋_GB2312"/>
        </w:rPr>
        <w:t>详见附件：质疑函.docx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详见附件：供应商采购合同.docx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