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495AC">
      <w:pPr>
        <w:pStyle w:val="2"/>
        <w:spacing w:line="360" w:lineRule="auto"/>
        <w:jc w:val="center"/>
        <w:rPr>
          <w:rFonts w:hint="eastAsia" w:ascii="仿宋" w:hAnsi="仿宋" w:eastAsia="仿宋" w:cs="仿宋"/>
          <w:bCs/>
          <w:szCs w:val="32"/>
        </w:rPr>
      </w:pPr>
      <w:bookmarkStart w:id="0" w:name="_Toc10247"/>
      <w:bookmarkStart w:id="1" w:name="_Toc19926"/>
      <w:bookmarkStart w:id="2" w:name="_Toc10614"/>
      <w:r>
        <w:rPr>
          <w:rFonts w:hint="eastAsia" w:ascii="仿宋" w:hAnsi="仿宋" w:eastAsia="仿宋" w:cs="仿宋"/>
          <w:szCs w:val="48"/>
        </w:rPr>
        <w:t>资格证明文件</w:t>
      </w:r>
      <w:bookmarkEnd w:id="0"/>
      <w:bookmarkEnd w:id="1"/>
      <w:bookmarkEnd w:id="2"/>
    </w:p>
    <w:p w14:paraId="0C7EE2A5">
      <w:pPr>
        <w:spacing w:line="360" w:lineRule="auto"/>
        <w:rPr>
          <w:rFonts w:hint="eastAsia" w:ascii="仿宋" w:hAnsi="仿宋" w:eastAsia="仿宋" w:cs="仿宋"/>
          <w:sz w:val="24"/>
          <w:szCs w:val="24"/>
        </w:rPr>
      </w:pPr>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7B084EE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1、具有独立承担民事责任的能力（应提供营业执照；其他组织应提供合法证明文件；自然人提供身份证明文件）；</w:t>
      </w:r>
    </w:p>
    <w:p w14:paraId="14D8DF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2、具有良好的商业信誉和健全的财务会计制度（提供2024年度财务审计报告或开标前近6个月内的银行资信证明或财政部门认可的政府采购专业担保机构出具的投标担保函）；</w:t>
      </w:r>
    </w:p>
    <w:p w14:paraId="467B575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3、具有履行合同所必需的设备和专业技术能力（格式详见附件）；</w:t>
      </w:r>
      <w:bookmarkStart w:id="47" w:name="_GoBack"/>
      <w:bookmarkEnd w:id="47"/>
    </w:p>
    <w:p w14:paraId="0922B4C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4、具有依法缴纳税收和社会保障资金的良好记录（提供开标前6个月内任一月份的社保和缴纳税收的证明，依法不需要缴纳社会保障资金、免税或无须缴纳税款的供应商，应提供相关证明文件)；</w:t>
      </w:r>
    </w:p>
    <w:p w14:paraId="4445BD3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5、参加政府采购活动前三年内，在经营活动中没有重大违法记录（格式详见附</w:t>
      </w:r>
      <w:r>
        <w:rPr>
          <w:rFonts w:hint="eastAsia" w:ascii="仿宋" w:hAnsi="仿宋" w:eastAsia="仿宋" w:cs="仿宋"/>
          <w:sz w:val="24"/>
          <w:szCs w:val="24"/>
          <w:highlight w:val="none"/>
        </w:rPr>
        <w:t>件）。</w:t>
      </w:r>
    </w:p>
    <w:p w14:paraId="6E3873EB">
      <w:pPr>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二、</w:t>
      </w:r>
      <w:r>
        <w:rPr>
          <w:rFonts w:hint="eastAsia" w:ascii="仿宋" w:hAnsi="仿宋" w:eastAsia="仿宋" w:cs="仿宋"/>
          <w:b/>
          <w:bCs/>
          <w:sz w:val="24"/>
          <w:szCs w:val="24"/>
          <w:highlight w:val="none"/>
        </w:rPr>
        <w:t>落实政府采购政策需满足的资格要求：</w:t>
      </w:r>
    </w:p>
    <w:p w14:paraId="0D8E3A0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本项目为</w:t>
      </w:r>
      <w:r>
        <w:rPr>
          <w:rFonts w:hint="eastAsia" w:ascii="仿宋" w:hAnsi="仿宋" w:eastAsia="仿宋" w:cs="仿宋"/>
          <w:sz w:val="24"/>
          <w:szCs w:val="24"/>
          <w:highlight w:val="none"/>
          <w:lang w:val="en-US" w:eastAsia="zh-CN"/>
        </w:rPr>
        <w:t>非</w:t>
      </w:r>
      <w:r>
        <w:rPr>
          <w:rFonts w:hint="eastAsia" w:ascii="仿宋" w:hAnsi="仿宋" w:eastAsia="仿宋" w:cs="仿宋"/>
          <w:sz w:val="24"/>
          <w:szCs w:val="24"/>
          <w:highlight w:val="none"/>
        </w:rPr>
        <w:t>专门面向中小企业采购项目。</w:t>
      </w:r>
    </w:p>
    <w:p w14:paraId="2F56CA3B">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三</w:t>
      </w:r>
      <w:r>
        <w:rPr>
          <w:rFonts w:hint="eastAsia" w:ascii="仿宋" w:hAnsi="仿宋" w:eastAsia="仿宋" w:cs="仿宋"/>
          <w:b/>
          <w:bCs/>
          <w:sz w:val="24"/>
          <w:szCs w:val="24"/>
          <w:highlight w:val="none"/>
        </w:rPr>
        <w:t>、特定资格条件：</w:t>
      </w:r>
    </w:p>
    <w:p w14:paraId="388B1F7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供应商拟派项目负责人具有环境影响评价工程师资格和环境工程中级（含中级）以上职称。</w:t>
      </w:r>
    </w:p>
    <w:p w14:paraId="0333EB71">
      <w:pPr>
        <w:spacing w:line="360" w:lineRule="auto"/>
        <w:ind w:firstLine="480" w:firstLineChars="200"/>
        <w:rPr>
          <w:rFonts w:hint="eastAsia" w:ascii="仿宋" w:hAnsi="仿宋" w:eastAsia="仿宋" w:cs="仿宋"/>
          <w:sz w:val="24"/>
          <w:szCs w:val="24"/>
          <w:highlight w:val="none"/>
        </w:rPr>
      </w:pPr>
    </w:p>
    <w:p w14:paraId="410074EF">
      <w:pPr>
        <w:spacing w:line="360" w:lineRule="auto"/>
        <w:ind w:firstLine="480" w:firstLineChars="200"/>
        <w:rPr>
          <w:rFonts w:hint="eastAsia" w:ascii="仿宋" w:hAnsi="仿宋" w:eastAsia="仿宋" w:cs="仿宋"/>
          <w:sz w:val="24"/>
          <w:szCs w:val="24"/>
          <w:highlight w:val="none"/>
        </w:rPr>
      </w:pPr>
    </w:p>
    <w:p w14:paraId="796A103A">
      <w:pPr>
        <w:spacing w:line="360" w:lineRule="auto"/>
        <w:ind w:firstLine="480" w:firstLineChars="200"/>
        <w:rPr>
          <w:rFonts w:hint="eastAsia" w:ascii="仿宋" w:hAnsi="仿宋" w:eastAsia="仿宋" w:cs="仿宋"/>
          <w:sz w:val="24"/>
          <w:szCs w:val="24"/>
        </w:rPr>
      </w:pPr>
    </w:p>
    <w:p w14:paraId="7E41D7B3">
      <w:pPr>
        <w:spacing w:line="360" w:lineRule="auto"/>
        <w:ind w:firstLine="480" w:firstLineChars="200"/>
        <w:rPr>
          <w:rFonts w:hint="eastAsia" w:ascii="仿宋" w:hAnsi="仿宋" w:eastAsia="仿宋" w:cs="仿宋"/>
          <w:sz w:val="24"/>
          <w:szCs w:val="24"/>
        </w:rPr>
      </w:pPr>
    </w:p>
    <w:p w14:paraId="155397AB">
      <w:pPr>
        <w:pStyle w:val="4"/>
        <w:spacing w:line="360" w:lineRule="auto"/>
        <w:rPr>
          <w:rFonts w:hint="eastAsia" w:ascii="仿宋" w:hAnsi="仿宋" w:eastAsia="仿宋" w:cs="仿宋"/>
        </w:rPr>
      </w:pPr>
    </w:p>
    <w:p w14:paraId="0C4AEF8E">
      <w:pPr>
        <w:pStyle w:val="4"/>
        <w:spacing w:line="360" w:lineRule="auto"/>
        <w:rPr>
          <w:rFonts w:hint="eastAsia" w:ascii="仿宋" w:hAnsi="仿宋" w:eastAsia="仿宋" w:cs="仿宋"/>
        </w:rPr>
      </w:pPr>
    </w:p>
    <w:p w14:paraId="79300225">
      <w:pPr>
        <w:spacing w:line="360" w:lineRule="auto"/>
        <w:ind w:firstLine="480" w:firstLineChars="200"/>
        <w:rPr>
          <w:rFonts w:hint="eastAsia" w:ascii="仿宋" w:hAnsi="仿宋" w:eastAsia="仿宋" w:cs="仿宋"/>
          <w:sz w:val="24"/>
          <w:szCs w:val="24"/>
        </w:rPr>
      </w:pPr>
    </w:p>
    <w:p w14:paraId="277EE632">
      <w:pPr>
        <w:pStyle w:val="3"/>
        <w:spacing w:line="360" w:lineRule="auto"/>
        <w:rPr>
          <w:rFonts w:hint="eastAsia" w:ascii="仿宋" w:hAnsi="仿宋" w:eastAsia="仿宋" w:cs="仿宋"/>
        </w:rPr>
      </w:pPr>
      <w:r>
        <w:rPr>
          <w:rFonts w:hint="eastAsia" w:ascii="仿宋" w:hAnsi="仿宋" w:eastAsia="仿宋" w:cs="仿宋"/>
          <w:szCs w:val="32"/>
        </w:rPr>
        <w:br w:type="page"/>
      </w:r>
      <w:bookmarkStart w:id="3" w:name="_Toc5356"/>
      <w:bookmarkStart w:id="4" w:name="_Toc8058"/>
      <w:bookmarkStart w:id="5" w:name="_Toc29738"/>
      <w:bookmarkStart w:id="6" w:name="_Toc31448"/>
      <w:bookmarkStart w:id="7" w:name="_Toc21692"/>
      <w:bookmarkStart w:id="8" w:name="_Toc27382"/>
      <w:bookmarkStart w:id="9" w:name="_Toc22702"/>
      <w:bookmarkStart w:id="10" w:name="_Toc10864"/>
      <w:r>
        <w:rPr>
          <w:rFonts w:hint="eastAsia" w:ascii="仿宋" w:hAnsi="仿宋" w:eastAsia="仿宋" w:cs="仿宋"/>
          <w:b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3"/>
      <w:bookmarkEnd w:id="4"/>
      <w:bookmarkEnd w:id="5"/>
      <w:bookmarkEnd w:id="6"/>
      <w:bookmarkEnd w:id="7"/>
      <w:bookmarkEnd w:id="8"/>
      <w:bookmarkEnd w:id="9"/>
      <w:bookmarkEnd w:id="10"/>
    </w:p>
    <w:p w14:paraId="3886132D">
      <w:pPr>
        <w:pStyle w:val="3"/>
        <w:spacing w:line="360" w:lineRule="auto"/>
        <w:rPr>
          <w:rFonts w:hint="eastAsia" w:ascii="仿宋" w:hAnsi="仿宋" w:eastAsia="仿宋" w:cs="仿宋"/>
          <w:sz w:val="24"/>
        </w:rPr>
      </w:pPr>
      <w:r>
        <w:rPr>
          <w:rFonts w:hint="eastAsia" w:ascii="仿宋" w:hAnsi="仿宋" w:eastAsia="仿宋" w:cs="仿宋"/>
          <w:sz w:val="24"/>
          <w:szCs w:val="24"/>
        </w:rPr>
        <w:br w:type="page"/>
      </w:r>
      <w:bookmarkStart w:id="11" w:name="_Toc10634"/>
      <w:bookmarkStart w:id="12" w:name="_Toc8429"/>
      <w:bookmarkStart w:id="13" w:name="_Toc3931"/>
      <w:bookmarkStart w:id="14" w:name="_Toc14174"/>
      <w:bookmarkStart w:id="15" w:name="_Toc13419"/>
      <w:bookmarkStart w:id="16" w:name="_Toc1077"/>
      <w:bookmarkStart w:id="17" w:name="_Toc30440"/>
      <w:bookmarkStart w:id="18" w:name="_Toc8771"/>
      <w:r>
        <w:rPr>
          <w:rFonts w:hint="eastAsia" w:ascii="仿宋" w:hAnsi="仿宋" w:eastAsia="仿宋" w:cs="仿宋"/>
          <w:sz w:val="24"/>
          <w:szCs w:val="24"/>
        </w:rPr>
        <w:t>具有良好的商业信誉和健全的财务会计制度（提供2023或2024年度财务审计报告或开标前近6个月内的银行资信证明或财政部门认可的政府采购专业担保机构出具的投标担保函）；</w:t>
      </w:r>
      <w:bookmarkEnd w:id="11"/>
      <w:bookmarkEnd w:id="12"/>
      <w:bookmarkEnd w:id="13"/>
      <w:bookmarkEnd w:id="14"/>
      <w:bookmarkEnd w:id="15"/>
      <w:bookmarkEnd w:id="16"/>
      <w:bookmarkEnd w:id="17"/>
      <w:bookmarkEnd w:id="18"/>
    </w:p>
    <w:p w14:paraId="356DF711">
      <w:pPr>
        <w:pStyle w:val="3"/>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19" w:name="_Toc15773"/>
      <w:bookmarkStart w:id="20" w:name="_Toc11868"/>
      <w:bookmarkStart w:id="21" w:name="_Toc27657"/>
      <w:bookmarkStart w:id="22" w:name="_Toc17741"/>
      <w:bookmarkStart w:id="23" w:name="_Toc18078"/>
      <w:bookmarkStart w:id="24" w:name="_Toc3343"/>
      <w:bookmarkStart w:id="25" w:name="_Toc27004"/>
      <w:bookmarkStart w:id="26" w:name="_Toc18264"/>
      <w:bookmarkStart w:id="27" w:name="_Toc26700"/>
      <w:r>
        <w:rPr>
          <w:rFonts w:hint="eastAsia" w:ascii="仿宋" w:hAnsi="仿宋" w:eastAsia="仿宋" w:cs="仿宋"/>
          <w:sz w:val="24"/>
          <w:szCs w:val="24"/>
        </w:rPr>
        <w:t>具有履行合同所必需的设备和专业技术能力；</w:t>
      </w:r>
      <w:bookmarkEnd w:id="19"/>
      <w:bookmarkEnd w:id="20"/>
      <w:bookmarkEnd w:id="21"/>
      <w:bookmarkEnd w:id="22"/>
      <w:bookmarkEnd w:id="23"/>
      <w:bookmarkEnd w:id="24"/>
      <w:bookmarkEnd w:id="25"/>
      <w:bookmarkEnd w:id="26"/>
      <w:bookmarkEnd w:id="27"/>
    </w:p>
    <w:p w14:paraId="78E4C020">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lang w:val="en-US" w:eastAsia="zh-CN"/>
        </w:rPr>
        <w:t>采购人</w:t>
      </w: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rPr>
        <w:t>：</w:t>
      </w:r>
    </w:p>
    <w:p w14:paraId="2AF1C2F2">
      <w:pPr>
        <w:spacing w:before="240" w:beforeLines="100" w:after="120" w:afterLines="50" w:line="360" w:lineRule="auto"/>
        <w:ind w:firstLine="620" w:firstLineChars="25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1621"/>
      </w:tblGrid>
      <w:tr w14:paraId="158E2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142" w:type="dxa"/>
            <w:gridSpan w:val="5"/>
            <w:noWrap w:val="0"/>
            <w:vAlign w:val="center"/>
          </w:tcPr>
          <w:p w14:paraId="3F44EB92">
            <w:pPr>
              <w:spacing w:line="360" w:lineRule="auto"/>
              <w:jc w:val="center"/>
              <w:rPr>
                <w:rFonts w:hint="eastAsia" w:ascii="仿宋" w:hAnsi="仿宋" w:eastAsia="仿宋" w:cs="仿宋"/>
                <w:b/>
                <w:sz w:val="24"/>
              </w:rPr>
            </w:pPr>
            <w:r>
              <w:rPr>
                <w:rFonts w:hint="eastAsia" w:ascii="仿宋" w:hAnsi="仿宋" w:eastAsia="仿宋" w:cs="仿宋"/>
                <w:b/>
                <w:sz w:val="24"/>
              </w:rPr>
              <w:t>履行合同所必需的设备清单</w:t>
            </w:r>
          </w:p>
        </w:tc>
      </w:tr>
      <w:tr w14:paraId="4DAA6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50E9B5C8">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2693" w:type="dxa"/>
            <w:noWrap w:val="0"/>
            <w:vAlign w:val="center"/>
          </w:tcPr>
          <w:p w14:paraId="4CB675C1">
            <w:pPr>
              <w:spacing w:line="360" w:lineRule="auto"/>
              <w:jc w:val="center"/>
              <w:rPr>
                <w:rFonts w:hint="eastAsia" w:ascii="仿宋" w:hAnsi="仿宋" w:eastAsia="仿宋" w:cs="仿宋"/>
                <w:sz w:val="24"/>
              </w:rPr>
            </w:pPr>
            <w:r>
              <w:rPr>
                <w:rFonts w:hint="eastAsia" w:ascii="仿宋" w:hAnsi="仿宋" w:eastAsia="仿宋" w:cs="仿宋"/>
                <w:sz w:val="24"/>
              </w:rPr>
              <w:t>设备或材料名称</w:t>
            </w:r>
          </w:p>
        </w:tc>
        <w:tc>
          <w:tcPr>
            <w:tcW w:w="2268" w:type="dxa"/>
            <w:noWrap w:val="0"/>
            <w:vAlign w:val="center"/>
          </w:tcPr>
          <w:p w14:paraId="73AEF554">
            <w:pPr>
              <w:spacing w:line="360" w:lineRule="auto"/>
              <w:jc w:val="center"/>
              <w:rPr>
                <w:rFonts w:hint="eastAsia" w:ascii="仿宋" w:hAnsi="仿宋" w:eastAsia="仿宋" w:cs="仿宋"/>
                <w:sz w:val="24"/>
              </w:rPr>
            </w:pPr>
            <w:r>
              <w:rPr>
                <w:rFonts w:hint="eastAsia" w:ascii="仿宋" w:hAnsi="仿宋" w:eastAsia="仿宋" w:cs="仿宋"/>
                <w:sz w:val="24"/>
              </w:rPr>
              <w:t>品牌及型号</w:t>
            </w:r>
          </w:p>
        </w:tc>
        <w:tc>
          <w:tcPr>
            <w:tcW w:w="851" w:type="dxa"/>
            <w:noWrap w:val="0"/>
            <w:vAlign w:val="center"/>
          </w:tcPr>
          <w:p w14:paraId="3CB9BA58">
            <w:pPr>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1621" w:type="dxa"/>
            <w:noWrap w:val="0"/>
            <w:vAlign w:val="center"/>
          </w:tcPr>
          <w:p w14:paraId="31F2D815">
            <w:pPr>
              <w:spacing w:line="360" w:lineRule="auto"/>
              <w:jc w:val="center"/>
              <w:rPr>
                <w:rFonts w:hint="eastAsia" w:ascii="仿宋" w:hAnsi="仿宋" w:eastAsia="仿宋" w:cs="仿宋"/>
                <w:sz w:val="24"/>
              </w:rPr>
            </w:pPr>
            <w:r>
              <w:rPr>
                <w:rFonts w:hint="eastAsia" w:ascii="仿宋" w:hAnsi="仿宋" w:eastAsia="仿宋" w:cs="仿宋"/>
                <w:sz w:val="24"/>
              </w:rPr>
              <w:t>备注（自购/租赁）</w:t>
            </w:r>
          </w:p>
        </w:tc>
      </w:tr>
      <w:tr w14:paraId="34EF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4" w:hRule="atLeast"/>
        </w:trPr>
        <w:tc>
          <w:tcPr>
            <w:tcW w:w="709" w:type="dxa"/>
            <w:noWrap w:val="0"/>
            <w:vAlign w:val="center"/>
          </w:tcPr>
          <w:p w14:paraId="12B45C07">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2693" w:type="dxa"/>
            <w:noWrap w:val="0"/>
            <w:vAlign w:val="center"/>
          </w:tcPr>
          <w:p w14:paraId="29966C37">
            <w:pPr>
              <w:spacing w:line="360" w:lineRule="auto"/>
              <w:jc w:val="center"/>
              <w:rPr>
                <w:rFonts w:hint="eastAsia" w:ascii="仿宋" w:hAnsi="仿宋" w:eastAsia="仿宋" w:cs="仿宋"/>
                <w:sz w:val="24"/>
              </w:rPr>
            </w:pPr>
          </w:p>
        </w:tc>
        <w:tc>
          <w:tcPr>
            <w:tcW w:w="2268" w:type="dxa"/>
            <w:noWrap w:val="0"/>
            <w:vAlign w:val="center"/>
          </w:tcPr>
          <w:p w14:paraId="67FE1F91">
            <w:pPr>
              <w:spacing w:line="360" w:lineRule="auto"/>
              <w:jc w:val="center"/>
              <w:rPr>
                <w:rFonts w:hint="eastAsia" w:ascii="仿宋" w:hAnsi="仿宋" w:eastAsia="仿宋" w:cs="仿宋"/>
                <w:sz w:val="24"/>
              </w:rPr>
            </w:pPr>
          </w:p>
        </w:tc>
        <w:tc>
          <w:tcPr>
            <w:tcW w:w="851" w:type="dxa"/>
            <w:noWrap w:val="0"/>
            <w:vAlign w:val="center"/>
          </w:tcPr>
          <w:p w14:paraId="67316DC6">
            <w:pPr>
              <w:spacing w:line="360" w:lineRule="auto"/>
              <w:jc w:val="center"/>
              <w:rPr>
                <w:rFonts w:hint="eastAsia" w:ascii="仿宋" w:hAnsi="仿宋" w:eastAsia="仿宋" w:cs="仿宋"/>
                <w:sz w:val="24"/>
              </w:rPr>
            </w:pPr>
          </w:p>
        </w:tc>
        <w:tc>
          <w:tcPr>
            <w:tcW w:w="1621" w:type="dxa"/>
            <w:noWrap w:val="0"/>
            <w:vAlign w:val="center"/>
          </w:tcPr>
          <w:p w14:paraId="5095C412">
            <w:pPr>
              <w:spacing w:line="360" w:lineRule="auto"/>
              <w:jc w:val="center"/>
              <w:rPr>
                <w:rFonts w:hint="eastAsia" w:ascii="仿宋" w:hAnsi="仿宋" w:eastAsia="仿宋" w:cs="仿宋"/>
                <w:sz w:val="24"/>
              </w:rPr>
            </w:pPr>
          </w:p>
        </w:tc>
      </w:tr>
      <w:tr w14:paraId="46F6E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21696136">
            <w:pPr>
              <w:spacing w:line="360" w:lineRule="auto"/>
              <w:jc w:val="center"/>
              <w:rPr>
                <w:rFonts w:hint="eastAsia" w:ascii="仿宋" w:hAnsi="仿宋" w:eastAsia="仿宋" w:cs="仿宋"/>
                <w:sz w:val="24"/>
              </w:rPr>
            </w:pPr>
            <w:r>
              <w:rPr>
                <w:rFonts w:hint="eastAsia" w:ascii="仿宋" w:hAnsi="仿宋" w:eastAsia="仿宋" w:cs="仿宋"/>
                <w:sz w:val="24"/>
              </w:rPr>
              <w:t>2</w:t>
            </w:r>
          </w:p>
        </w:tc>
        <w:tc>
          <w:tcPr>
            <w:tcW w:w="2693" w:type="dxa"/>
            <w:noWrap w:val="0"/>
            <w:vAlign w:val="center"/>
          </w:tcPr>
          <w:p w14:paraId="12061EC3">
            <w:pPr>
              <w:spacing w:line="360" w:lineRule="auto"/>
              <w:jc w:val="center"/>
              <w:rPr>
                <w:rFonts w:hint="eastAsia" w:ascii="仿宋" w:hAnsi="仿宋" w:eastAsia="仿宋" w:cs="仿宋"/>
                <w:sz w:val="24"/>
              </w:rPr>
            </w:pPr>
          </w:p>
        </w:tc>
        <w:tc>
          <w:tcPr>
            <w:tcW w:w="2268" w:type="dxa"/>
            <w:noWrap w:val="0"/>
            <w:vAlign w:val="center"/>
          </w:tcPr>
          <w:p w14:paraId="13B6F72E">
            <w:pPr>
              <w:spacing w:line="360" w:lineRule="auto"/>
              <w:jc w:val="center"/>
              <w:rPr>
                <w:rFonts w:hint="eastAsia" w:ascii="仿宋" w:hAnsi="仿宋" w:eastAsia="仿宋" w:cs="仿宋"/>
                <w:sz w:val="24"/>
              </w:rPr>
            </w:pPr>
          </w:p>
        </w:tc>
        <w:tc>
          <w:tcPr>
            <w:tcW w:w="851" w:type="dxa"/>
            <w:noWrap w:val="0"/>
            <w:vAlign w:val="center"/>
          </w:tcPr>
          <w:p w14:paraId="52C3F7F1">
            <w:pPr>
              <w:spacing w:line="360" w:lineRule="auto"/>
              <w:jc w:val="center"/>
              <w:rPr>
                <w:rFonts w:hint="eastAsia" w:ascii="仿宋" w:hAnsi="仿宋" w:eastAsia="仿宋" w:cs="仿宋"/>
                <w:sz w:val="24"/>
              </w:rPr>
            </w:pPr>
          </w:p>
        </w:tc>
        <w:tc>
          <w:tcPr>
            <w:tcW w:w="1621" w:type="dxa"/>
            <w:noWrap w:val="0"/>
            <w:vAlign w:val="center"/>
          </w:tcPr>
          <w:p w14:paraId="0EFA377F">
            <w:pPr>
              <w:spacing w:line="360" w:lineRule="auto"/>
              <w:jc w:val="center"/>
              <w:rPr>
                <w:rFonts w:hint="eastAsia" w:ascii="仿宋" w:hAnsi="仿宋" w:eastAsia="仿宋" w:cs="仿宋"/>
                <w:sz w:val="24"/>
              </w:rPr>
            </w:pPr>
          </w:p>
        </w:tc>
      </w:tr>
      <w:tr w14:paraId="129D2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4793E7B7">
            <w:pPr>
              <w:spacing w:line="360" w:lineRule="auto"/>
              <w:jc w:val="center"/>
              <w:rPr>
                <w:rFonts w:hint="eastAsia" w:ascii="仿宋" w:hAnsi="仿宋" w:eastAsia="仿宋" w:cs="仿宋"/>
                <w:sz w:val="24"/>
              </w:rPr>
            </w:pPr>
            <w:r>
              <w:rPr>
                <w:rFonts w:hint="eastAsia" w:ascii="仿宋" w:hAnsi="仿宋" w:eastAsia="仿宋" w:cs="仿宋"/>
                <w:sz w:val="24"/>
              </w:rPr>
              <w:t>3</w:t>
            </w:r>
          </w:p>
        </w:tc>
        <w:tc>
          <w:tcPr>
            <w:tcW w:w="2693" w:type="dxa"/>
            <w:noWrap w:val="0"/>
            <w:vAlign w:val="center"/>
          </w:tcPr>
          <w:p w14:paraId="47A872F8">
            <w:pPr>
              <w:spacing w:line="360" w:lineRule="auto"/>
              <w:jc w:val="center"/>
              <w:rPr>
                <w:rFonts w:hint="eastAsia" w:ascii="仿宋" w:hAnsi="仿宋" w:eastAsia="仿宋" w:cs="仿宋"/>
                <w:sz w:val="24"/>
              </w:rPr>
            </w:pPr>
          </w:p>
        </w:tc>
        <w:tc>
          <w:tcPr>
            <w:tcW w:w="2268" w:type="dxa"/>
            <w:noWrap w:val="0"/>
            <w:vAlign w:val="center"/>
          </w:tcPr>
          <w:p w14:paraId="208B6BA0">
            <w:pPr>
              <w:spacing w:line="360" w:lineRule="auto"/>
              <w:jc w:val="center"/>
              <w:rPr>
                <w:rFonts w:hint="eastAsia" w:ascii="仿宋" w:hAnsi="仿宋" w:eastAsia="仿宋" w:cs="仿宋"/>
                <w:sz w:val="24"/>
              </w:rPr>
            </w:pPr>
          </w:p>
        </w:tc>
        <w:tc>
          <w:tcPr>
            <w:tcW w:w="851" w:type="dxa"/>
            <w:noWrap w:val="0"/>
            <w:vAlign w:val="center"/>
          </w:tcPr>
          <w:p w14:paraId="23F26448">
            <w:pPr>
              <w:spacing w:line="360" w:lineRule="auto"/>
              <w:jc w:val="center"/>
              <w:rPr>
                <w:rFonts w:hint="eastAsia" w:ascii="仿宋" w:hAnsi="仿宋" w:eastAsia="仿宋" w:cs="仿宋"/>
                <w:sz w:val="24"/>
              </w:rPr>
            </w:pPr>
          </w:p>
        </w:tc>
        <w:tc>
          <w:tcPr>
            <w:tcW w:w="1621" w:type="dxa"/>
            <w:noWrap w:val="0"/>
            <w:vAlign w:val="center"/>
          </w:tcPr>
          <w:p w14:paraId="663FD634">
            <w:pPr>
              <w:spacing w:line="360" w:lineRule="auto"/>
              <w:jc w:val="center"/>
              <w:rPr>
                <w:rFonts w:hint="eastAsia" w:ascii="仿宋" w:hAnsi="仿宋" w:eastAsia="仿宋" w:cs="仿宋"/>
                <w:sz w:val="24"/>
              </w:rPr>
            </w:pPr>
          </w:p>
        </w:tc>
      </w:tr>
      <w:tr w14:paraId="645E7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38CC6A47">
            <w:pPr>
              <w:spacing w:line="360" w:lineRule="auto"/>
              <w:jc w:val="center"/>
              <w:rPr>
                <w:rFonts w:hint="eastAsia" w:ascii="仿宋" w:hAnsi="仿宋" w:eastAsia="仿宋" w:cs="仿宋"/>
                <w:sz w:val="24"/>
              </w:rPr>
            </w:pPr>
            <w:r>
              <w:rPr>
                <w:rFonts w:hint="eastAsia" w:ascii="仿宋" w:hAnsi="仿宋" w:eastAsia="仿宋" w:cs="仿宋"/>
                <w:sz w:val="24"/>
              </w:rPr>
              <w:t>….</w:t>
            </w:r>
          </w:p>
        </w:tc>
        <w:tc>
          <w:tcPr>
            <w:tcW w:w="2693" w:type="dxa"/>
            <w:noWrap w:val="0"/>
            <w:vAlign w:val="center"/>
          </w:tcPr>
          <w:p w14:paraId="23FE0FDE">
            <w:pPr>
              <w:spacing w:line="360" w:lineRule="auto"/>
              <w:jc w:val="center"/>
              <w:rPr>
                <w:rFonts w:hint="eastAsia" w:ascii="仿宋" w:hAnsi="仿宋" w:eastAsia="仿宋" w:cs="仿宋"/>
                <w:sz w:val="24"/>
              </w:rPr>
            </w:pPr>
          </w:p>
        </w:tc>
        <w:tc>
          <w:tcPr>
            <w:tcW w:w="2268" w:type="dxa"/>
            <w:noWrap w:val="0"/>
            <w:vAlign w:val="center"/>
          </w:tcPr>
          <w:p w14:paraId="0C84EA51">
            <w:pPr>
              <w:spacing w:line="360" w:lineRule="auto"/>
              <w:jc w:val="center"/>
              <w:rPr>
                <w:rFonts w:hint="eastAsia" w:ascii="仿宋" w:hAnsi="仿宋" w:eastAsia="仿宋" w:cs="仿宋"/>
                <w:sz w:val="24"/>
              </w:rPr>
            </w:pPr>
          </w:p>
        </w:tc>
        <w:tc>
          <w:tcPr>
            <w:tcW w:w="851" w:type="dxa"/>
            <w:noWrap w:val="0"/>
            <w:vAlign w:val="center"/>
          </w:tcPr>
          <w:p w14:paraId="603342F2">
            <w:pPr>
              <w:spacing w:line="360" w:lineRule="auto"/>
              <w:jc w:val="center"/>
              <w:rPr>
                <w:rFonts w:hint="eastAsia" w:ascii="仿宋" w:hAnsi="仿宋" w:eastAsia="仿宋" w:cs="仿宋"/>
                <w:sz w:val="24"/>
              </w:rPr>
            </w:pPr>
          </w:p>
        </w:tc>
        <w:tc>
          <w:tcPr>
            <w:tcW w:w="1621" w:type="dxa"/>
            <w:noWrap w:val="0"/>
            <w:vAlign w:val="center"/>
          </w:tcPr>
          <w:p w14:paraId="62A51726">
            <w:pPr>
              <w:spacing w:line="360" w:lineRule="auto"/>
              <w:jc w:val="center"/>
              <w:rPr>
                <w:rFonts w:hint="eastAsia" w:ascii="仿宋" w:hAnsi="仿宋" w:eastAsia="仿宋" w:cs="仿宋"/>
                <w:sz w:val="24"/>
              </w:rPr>
            </w:pPr>
          </w:p>
        </w:tc>
      </w:tr>
    </w:tbl>
    <w:p w14:paraId="3526CD41">
      <w:pPr>
        <w:spacing w:before="240" w:beforeLines="100" w:after="120" w:afterLines="50" w:line="360" w:lineRule="auto"/>
        <w:ind w:firstLine="170"/>
        <w:rPr>
          <w:rFonts w:hint="eastAsia" w:ascii="仿宋" w:hAnsi="仿宋" w:eastAsia="仿宋" w:cs="仿宋"/>
          <w:spacing w:val="4"/>
          <w:sz w:val="24"/>
          <w:szCs w:val="24"/>
        </w:rPr>
      </w:pPr>
    </w:p>
    <w:p w14:paraId="54282319">
      <w:pPr>
        <w:pStyle w:val="5"/>
        <w:numPr>
          <w:ilvl w:val="3"/>
          <w:numId w:val="0"/>
        </w:numPr>
        <w:spacing w:line="360" w:lineRule="auto"/>
        <w:ind w:leftChars="0"/>
        <w:rPr>
          <w:rFonts w:hint="eastAsia" w:ascii="仿宋" w:hAnsi="仿宋" w:eastAsia="仿宋" w:cs="仿宋"/>
          <w:spacing w:val="4"/>
          <w:sz w:val="24"/>
          <w:szCs w:val="24"/>
        </w:rPr>
      </w:pPr>
    </w:p>
    <w:p w14:paraId="036CB78B">
      <w:pPr>
        <w:spacing w:line="360" w:lineRule="auto"/>
        <w:rPr>
          <w:rFonts w:hint="eastAsia" w:ascii="仿宋" w:hAnsi="仿宋" w:eastAsia="仿宋" w:cs="仿宋"/>
          <w:sz w:val="24"/>
          <w:szCs w:val="24"/>
        </w:rPr>
      </w:pPr>
    </w:p>
    <w:p w14:paraId="1F55F07E">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1BF28D45">
      <w:pPr>
        <w:spacing w:line="360" w:lineRule="auto"/>
        <w:ind w:firstLine="2650" w:firstLineChars="1100"/>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60DF1D5D">
      <w:pPr>
        <w:spacing w:line="360" w:lineRule="auto"/>
        <w:rPr>
          <w:rFonts w:hint="eastAsia" w:ascii="仿宋" w:hAnsi="仿宋" w:eastAsia="仿宋" w:cs="仿宋"/>
        </w:rPr>
      </w:pPr>
    </w:p>
    <w:p w14:paraId="59AF3D98">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28" w:name="_Toc401"/>
      <w:bookmarkStart w:id="29" w:name="_Toc1663"/>
      <w:bookmarkStart w:id="30" w:name="_Toc8263"/>
      <w:bookmarkStart w:id="31" w:name="_Toc4301"/>
      <w:bookmarkStart w:id="32" w:name="_Toc15437"/>
      <w:bookmarkStart w:id="33" w:name="_Toc10553"/>
      <w:bookmarkStart w:id="34" w:name="_Toc15643"/>
      <w:bookmarkStart w:id="35" w:name="_Toc3044"/>
      <w:r>
        <w:rPr>
          <w:rFonts w:hint="eastAsia" w:ascii="仿宋" w:hAnsi="仿宋" w:eastAsia="仿宋" w:cs="仿宋"/>
          <w:sz w:val="24"/>
          <w:szCs w:val="24"/>
        </w:rPr>
        <w:t>具有依法缴纳税收和社会保障资金的良好记录（提供开标前6个月内任一月份的社保和缴纳税收的证明，依法不需要缴纳社会保障资金、免税或无须缴纳税款的供应商，应提供相关证明文件)；</w:t>
      </w:r>
      <w:bookmarkEnd w:id="28"/>
      <w:bookmarkEnd w:id="29"/>
      <w:bookmarkEnd w:id="30"/>
      <w:bookmarkEnd w:id="31"/>
      <w:bookmarkEnd w:id="32"/>
      <w:bookmarkEnd w:id="33"/>
      <w:bookmarkEnd w:id="34"/>
      <w:bookmarkEnd w:id="35"/>
    </w:p>
    <w:p w14:paraId="6111445D">
      <w:pPr>
        <w:spacing w:line="360" w:lineRule="auto"/>
        <w:jc w:val="center"/>
        <w:rPr>
          <w:rFonts w:hint="eastAsia" w:ascii="仿宋" w:hAnsi="仿宋" w:eastAsia="仿宋" w:cs="仿宋"/>
          <w:sz w:val="24"/>
        </w:rPr>
      </w:pPr>
      <w:r>
        <w:rPr>
          <w:rFonts w:hint="eastAsia" w:ascii="仿宋" w:hAnsi="仿宋" w:eastAsia="仿宋" w:cs="仿宋"/>
          <w:sz w:val="24"/>
        </w:rPr>
        <w:t>提供社会保障资金缴纳记录证明文件</w:t>
      </w:r>
    </w:p>
    <w:p w14:paraId="7D0B372C">
      <w:pPr>
        <w:spacing w:line="360" w:lineRule="auto"/>
        <w:rPr>
          <w:rFonts w:hint="eastAsia" w:ascii="仿宋" w:hAnsi="仿宋" w:eastAsia="仿宋" w:cs="仿宋"/>
          <w:sz w:val="24"/>
        </w:rPr>
      </w:pPr>
    </w:p>
    <w:p w14:paraId="704A104C">
      <w:pPr>
        <w:spacing w:line="360" w:lineRule="auto"/>
        <w:rPr>
          <w:rFonts w:hint="eastAsia" w:ascii="仿宋" w:hAnsi="仿宋" w:eastAsia="仿宋" w:cs="仿宋"/>
          <w:sz w:val="24"/>
        </w:rPr>
      </w:pPr>
      <w:r>
        <w:rPr>
          <w:rFonts w:hint="eastAsia" w:ascii="仿宋" w:hAnsi="仿宋" w:eastAsia="仿宋" w:cs="仿宋"/>
          <w:sz w:val="24"/>
        </w:rPr>
        <w:t>说明：</w:t>
      </w:r>
    </w:p>
    <w:p w14:paraId="5EA67B64">
      <w:pPr>
        <w:spacing w:line="360" w:lineRule="auto"/>
        <w:rPr>
          <w:rFonts w:hint="eastAsia" w:ascii="仿宋" w:hAnsi="仿宋" w:eastAsia="仿宋" w:cs="仿宋"/>
          <w:sz w:val="24"/>
        </w:rPr>
      </w:pPr>
      <w:r>
        <w:rPr>
          <w:rFonts w:hint="eastAsia" w:ascii="仿宋" w:hAnsi="仿宋" w:eastAsia="仿宋" w:cs="仿宋"/>
          <w:sz w:val="24"/>
        </w:rPr>
        <w:t>1、供应商须依法缴纳社会保障资金，须提供开标截止时间前6个月内任意1个月的社会保障资金缴纳记录复印件并加盖供应商单位公章，新开户的供应商提供社保开户证明，自行编写无效。</w:t>
      </w:r>
    </w:p>
    <w:p w14:paraId="5044939F">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36" w:name="_Toc109543226"/>
      <w:bookmarkStart w:id="37" w:name="_Toc109542406"/>
      <w:r>
        <w:rPr>
          <w:rFonts w:hint="eastAsia" w:ascii="仿宋" w:hAnsi="仿宋" w:eastAsia="仿宋" w:cs="仿宋"/>
          <w:sz w:val="24"/>
        </w:rPr>
        <w:t>。</w:t>
      </w:r>
      <w:bookmarkEnd w:id="36"/>
      <w:bookmarkEnd w:id="37"/>
    </w:p>
    <w:p w14:paraId="0DC02900">
      <w:pPr>
        <w:spacing w:line="360" w:lineRule="auto"/>
        <w:rPr>
          <w:rFonts w:hint="eastAsia" w:ascii="仿宋" w:hAnsi="仿宋" w:eastAsia="仿宋" w:cs="仿宋"/>
          <w:sz w:val="24"/>
        </w:rPr>
      </w:pPr>
    </w:p>
    <w:p w14:paraId="4CB74EA3">
      <w:pPr>
        <w:spacing w:line="360" w:lineRule="auto"/>
        <w:jc w:val="center"/>
        <w:rPr>
          <w:rFonts w:hint="eastAsia"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依法缴纳税收记录证明文件</w:t>
      </w:r>
    </w:p>
    <w:p w14:paraId="48F722E6">
      <w:pPr>
        <w:spacing w:line="360" w:lineRule="auto"/>
        <w:rPr>
          <w:rFonts w:hint="eastAsia" w:ascii="仿宋" w:hAnsi="仿宋" w:eastAsia="仿宋" w:cs="仿宋"/>
          <w:sz w:val="24"/>
        </w:rPr>
      </w:pPr>
    </w:p>
    <w:p w14:paraId="652E97FC">
      <w:pPr>
        <w:spacing w:line="360" w:lineRule="auto"/>
        <w:rPr>
          <w:rFonts w:hint="eastAsia" w:ascii="仿宋" w:hAnsi="仿宋" w:eastAsia="仿宋" w:cs="仿宋"/>
          <w:sz w:val="24"/>
        </w:rPr>
      </w:pPr>
      <w:r>
        <w:rPr>
          <w:rFonts w:hint="eastAsia" w:ascii="仿宋" w:hAnsi="仿宋" w:eastAsia="仿宋" w:cs="仿宋"/>
          <w:sz w:val="24"/>
        </w:rPr>
        <w:t>说明：</w:t>
      </w:r>
    </w:p>
    <w:p w14:paraId="43E557E6">
      <w:pPr>
        <w:spacing w:line="360" w:lineRule="auto"/>
        <w:rPr>
          <w:rFonts w:hint="eastAsia" w:ascii="仿宋" w:hAnsi="仿宋" w:eastAsia="仿宋" w:cs="仿宋"/>
          <w:sz w:val="24"/>
        </w:rPr>
      </w:pPr>
      <w:r>
        <w:rPr>
          <w:rFonts w:hint="eastAsia" w:ascii="仿宋" w:hAnsi="仿宋" w:eastAsia="仿宋" w:cs="仿宋"/>
          <w:sz w:val="24"/>
        </w:rPr>
        <w:t>1、供应商须提供开标截止时间前6个月内任意1个月的依法缴纳税收记录（依法免税或无须缴纳税款的供应商，应提供相关证明文件)。</w:t>
      </w:r>
    </w:p>
    <w:p w14:paraId="0A36226C">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707347C8">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38" w:name="_Toc17122"/>
      <w:bookmarkStart w:id="39" w:name="_Toc4031"/>
      <w:bookmarkStart w:id="40" w:name="_Toc12725"/>
      <w:bookmarkStart w:id="41" w:name="_Toc28150"/>
      <w:bookmarkStart w:id="42" w:name="_Toc19428"/>
      <w:bookmarkStart w:id="43" w:name="_Toc25153"/>
      <w:bookmarkStart w:id="44" w:name="_Toc28139"/>
      <w:bookmarkStart w:id="45" w:name="_Toc9138"/>
      <w:bookmarkStart w:id="46" w:name="_Toc10315"/>
      <w:r>
        <w:rPr>
          <w:rFonts w:hint="eastAsia" w:ascii="仿宋" w:hAnsi="仿宋" w:eastAsia="仿宋" w:cs="仿宋"/>
          <w:sz w:val="24"/>
          <w:szCs w:val="24"/>
        </w:rPr>
        <w:t>参加政府采购活动前三年内，在经营活动中没有重大违法记录；</w:t>
      </w:r>
      <w:bookmarkEnd w:id="38"/>
      <w:bookmarkEnd w:id="39"/>
      <w:bookmarkEnd w:id="40"/>
      <w:bookmarkEnd w:id="41"/>
      <w:bookmarkEnd w:id="42"/>
      <w:bookmarkEnd w:id="43"/>
      <w:bookmarkEnd w:id="44"/>
      <w:bookmarkEnd w:id="45"/>
      <w:bookmarkEnd w:id="46"/>
    </w:p>
    <w:p w14:paraId="3A895EDB">
      <w:pPr>
        <w:pStyle w:val="6"/>
        <w:wordWrap w:val="0"/>
        <w:spacing w:before="0" w:beforeAutospacing="0" w:after="0" w:afterAutospacing="0" w:line="360" w:lineRule="auto"/>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14:paraId="5934A767">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7180093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A727596">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456EEFD5">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68655B4F">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17B408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3D8C6A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11E51564">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5D6FB1D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28D03FC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47A758BD">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601F69EF">
      <w:pPr>
        <w:spacing w:before="240" w:beforeLines="100" w:after="120" w:afterLines="50" w:line="360" w:lineRule="auto"/>
        <w:ind w:firstLine="2592" w:firstLineChars="1076"/>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7B4DD84F">
      <w:pPr>
        <w:outlineLvl w:val="2"/>
      </w:pPr>
      <w:r>
        <w:rPr>
          <w:rFonts w:hint="eastAsia" w:ascii="仿宋" w:hAnsi="仿宋" w:eastAsia="仿宋" w:cs="仿宋"/>
          <w:b/>
          <w:bCs/>
          <w:sz w:val="24"/>
          <w:u w:val="single"/>
        </w:rPr>
        <w:br w:type="page"/>
      </w:r>
      <w:r>
        <w:rPr>
          <w:rFonts w:hint="eastAsia" w:ascii="仿宋" w:hAnsi="仿宋" w:eastAsia="仿宋" w:cs="仿宋"/>
          <w:b/>
          <w:bCs/>
          <w:sz w:val="24"/>
          <w:u w:val="none"/>
        </w:rPr>
        <w:t>供应商具备城乡规划</w:t>
      </w:r>
      <w:r>
        <w:rPr>
          <w:rFonts w:hint="eastAsia" w:ascii="仿宋" w:hAnsi="仿宋" w:eastAsia="仿宋" w:cs="仿宋"/>
          <w:b/>
          <w:bCs/>
          <w:sz w:val="24"/>
          <w:u w:val="none"/>
          <w:lang w:val="en-US" w:eastAsia="zh-CN"/>
        </w:rPr>
        <w:t>乙级（含乙级）及以上</w:t>
      </w:r>
      <w:r>
        <w:rPr>
          <w:rFonts w:hint="eastAsia" w:ascii="仿宋" w:hAnsi="仿宋" w:eastAsia="仿宋" w:cs="仿宋"/>
          <w:b/>
          <w:bCs/>
          <w:sz w:val="24"/>
          <w:u w:val="none"/>
        </w:rPr>
        <w:t>编制资质。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5"/>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024CF7"/>
    <w:rsid w:val="0D5F6D00"/>
    <w:rsid w:val="216337D3"/>
    <w:rsid w:val="3E710F2E"/>
    <w:rsid w:val="4BB32C30"/>
    <w:rsid w:val="5F177148"/>
    <w:rsid w:val="5FA25196"/>
    <w:rsid w:val="72024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3">
    <w:name w:val="heading 3"/>
    <w:basedOn w:val="1"/>
    <w:next w:val="1"/>
    <w:qFormat/>
    <w:uiPriority w:val="0"/>
    <w:pPr>
      <w:keepNext/>
      <w:keepLines/>
      <w:spacing w:before="260" w:beforeLines="0" w:beforeAutospacing="0" w:after="260" w:afterLines="0" w:afterAutospacing="0" w:line="415"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next w:val="1"/>
    <w:qFormat/>
    <w:uiPriority w:val="0"/>
    <w:pPr>
      <w:numPr>
        <w:ilvl w:val="3"/>
        <w:numId w:val="1"/>
      </w:numPr>
      <w:spacing w:line="460" w:lineRule="exact"/>
    </w:pPr>
    <w:rPr>
      <w:rFonts w:cs="Times New Roman"/>
      <w:szCs w:val="16"/>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1578</Words>
  <Characters>1590</Characters>
  <Lines>0</Lines>
  <Paragraphs>0</Paragraphs>
  <TotalTime>0</TotalTime>
  <ScaleCrop>false</ScaleCrop>
  <LinksUpToDate>false</LinksUpToDate>
  <CharactersWithSpaces>1931</CharactersWithSpaces>
  <Application>WPS Office_12.1.0.21911_F1E327BC-269C-435d-A152-05C5408002CA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2025-05-19T10:45:00Z</dcterms:created>
  <dc:creator>陕西中技招标有限公司</dc:creator>
  <cp:lastModifiedBy>6221530</cp:lastModifiedBy>
  <dcterms:modified xsi:type="dcterms:W3CDTF">2025-07-13T02:38:45Z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2052-12.1.0.21911</vt:lpwstr>
  </property>
  <property fmtid="{D5CDD505-2E9C-101B-9397-08002B2CF9AE}" pid="3" name="ICV">
    <vt:lpwstr>D4A28572802740AC95482A4FB65E9C3E_13</vt:lpwstr>
  </property>
  <property fmtid="{D5CDD505-2E9C-101B-9397-08002B2CF9AE}" pid="4" name="KSOTemplateDocerSaveRecord">
    <vt:lpwstr>eyJoZGlkIjoiNjYyOGRkMDlmM2Y2OGQxMWZjZTAwYjNmOTk3OGIzY2MiLCJ1c2VySWQiOiIxODMwNDYxIn0=</vt:lpwstr>
  </property>
</Properties>
</file>