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2"/>
        <w:spacing w:line="360" w:lineRule="auto"/>
        <w:jc w:val="center"/>
        <w:rPr>
          <w:rFonts w:hint="eastAsia" w:ascii="仿宋" w:hAnsi="仿宋" w:eastAsia="仿宋" w:cs="仿宋"/>
          <w:bCs/>
          <w:szCs w:val="32"/>
        </w:rPr>
      </w:pPr>
      <w:bookmarkStart w:id="0" w:name="_Toc19926"/>
      <w:bookmarkStart w:id="1" w:name="_Toc10247"/>
      <w:bookmarkStart w:id="2" w:name="_Toc10614"/>
      <w:r>
        <w:rPr>
          <w:rFonts w:hint="eastAsia" w:ascii="仿宋" w:hAnsi="仿宋" w:eastAsia="仿宋" w:cs="仿宋"/>
          <w:szCs w:val="48"/>
        </w:rPr>
        <w:t>资格证明文件</w:t>
      </w:r>
      <w:bookmarkEnd w:id="0"/>
      <w:bookmarkEnd w:id="1"/>
      <w:bookmarkEnd w:id="2"/>
    </w:p>
    <w:p w14:paraId="0C7EE2A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7B084EE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1、具有独立承担民事责任的能力（应提供营业执照；其他组织应提供合法证明文件；自然人提供身份证明文件）；</w:t>
      </w:r>
    </w:p>
    <w:p w14:paraId="14D8DF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2、具有良好的商业信誉和健全的财务会计制度（提供2024年度财务审计报告或开标前近6个月内的银行资信证明或财政部门认可的政府采购专业担保机构出具的投标担保函）；</w:t>
      </w:r>
    </w:p>
    <w:p w14:paraId="467B575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14:paraId="0922B4C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4、具有依法缴纳税收和社会保障资金的良好记录（提供开标前6个月内任一月份的社保和缴纳税收的证明，依法不需要缴纳社会保障资金、免税或无须缴纳税款的供应商，应提供相关证明文件)；</w:t>
      </w:r>
    </w:p>
    <w:p w14:paraId="4445BD3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5、参加政府采购活动前三年内，在经营活动中没有重大违法记录（格式详见附</w:t>
      </w:r>
      <w:r>
        <w:rPr>
          <w:rFonts w:hint="eastAsia" w:ascii="仿宋" w:hAnsi="仿宋" w:eastAsia="仿宋" w:cs="仿宋"/>
          <w:sz w:val="24"/>
          <w:szCs w:val="24"/>
          <w:highlight w:val="none"/>
        </w:rPr>
        <w:t>件）。</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0D8E3A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w:t>
      </w:r>
      <w:r>
        <w:rPr>
          <w:rFonts w:hint="eastAsia" w:ascii="仿宋" w:hAnsi="仿宋" w:eastAsia="仿宋" w:cs="仿宋"/>
          <w:sz w:val="24"/>
          <w:szCs w:val="24"/>
          <w:highlight w:val="none"/>
          <w:lang w:val="en-US" w:eastAsia="zh-CN"/>
        </w:rPr>
        <w:t>非</w:t>
      </w:r>
      <w:r>
        <w:rPr>
          <w:rFonts w:hint="eastAsia" w:ascii="仿宋" w:hAnsi="仿宋" w:eastAsia="仿宋" w:cs="仿宋"/>
          <w:sz w:val="24"/>
          <w:szCs w:val="24"/>
          <w:highlight w:val="none"/>
        </w:rPr>
        <w:t>专门面向中小企业采购项目。</w:t>
      </w:r>
    </w:p>
    <w:p w14:paraId="2F56CA3B">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、特定资格条件：</w:t>
      </w:r>
    </w:p>
    <w:p w14:paraId="388B1F7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供应商须具备城乡规划</w:t>
      </w:r>
      <w:bookmarkStart w:id="47" w:name="_GoBack"/>
      <w:bookmarkEnd w:id="47"/>
      <w:r>
        <w:rPr>
          <w:rFonts w:hint="eastAsia" w:ascii="仿宋" w:hAnsi="仿宋" w:eastAsia="仿宋" w:cs="仿宋"/>
          <w:sz w:val="24"/>
          <w:szCs w:val="24"/>
          <w:highlight w:val="none"/>
          <w:lang w:val="en-US" w:eastAsia="zh-CN"/>
        </w:rPr>
        <w:t>编制甲级资质，拟派项目负责人具备国家注册城乡规划师执业资格。</w:t>
      </w:r>
    </w:p>
    <w:p w14:paraId="0333EB71">
      <w:pPr>
        <w:spacing w:line="360" w:lineRule="auto"/>
        <w:ind w:firstLine="480" w:firstLineChars="200"/>
        <w:rPr>
          <w:rFonts w:hint="eastAsia" w:ascii="仿宋" w:hAnsi="仿宋" w:eastAsia="仿宋" w:cs="仿宋"/>
          <w:sz w:val="24"/>
          <w:szCs w:val="24"/>
          <w:highlight w:val="none"/>
        </w:rPr>
      </w:pP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4"/>
        <w:spacing w:line="360" w:lineRule="auto"/>
        <w:rPr>
          <w:rFonts w:hint="eastAsia" w:ascii="仿宋" w:hAnsi="仿宋" w:eastAsia="仿宋" w:cs="仿宋"/>
        </w:rPr>
      </w:pPr>
    </w:p>
    <w:p w14:paraId="0C4AEF8E">
      <w:pPr>
        <w:pStyle w:val="4"/>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277EE632">
      <w:pPr>
        <w:pStyle w:val="3"/>
        <w:spacing w:line="360" w:lineRule="auto"/>
        <w:rPr>
          <w:rFonts w:hint="eastAsia" w:ascii="仿宋" w:hAnsi="仿宋" w:eastAsia="仿宋" w:cs="仿宋"/>
        </w:rPr>
      </w:pPr>
      <w:r>
        <w:rPr>
          <w:rFonts w:hint="eastAsia" w:ascii="仿宋" w:hAnsi="仿宋" w:eastAsia="仿宋" w:cs="仿宋"/>
          <w:szCs w:val="32"/>
        </w:rPr>
        <w:br w:type="page"/>
      </w:r>
      <w:bookmarkStart w:id="3" w:name="_Toc29738"/>
      <w:bookmarkStart w:id="4" w:name="_Toc5356"/>
      <w:bookmarkStart w:id="5" w:name="_Toc8058"/>
      <w:bookmarkStart w:id="6" w:name="_Toc27382"/>
      <w:bookmarkStart w:id="7" w:name="_Toc10864"/>
      <w:bookmarkStart w:id="8" w:name="_Toc21692"/>
      <w:bookmarkStart w:id="9" w:name="_Toc22702"/>
      <w:bookmarkStart w:id="10" w:name="_Toc31448"/>
      <w:r>
        <w:rPr>
          <w:rFonts w:hint="eastAsia" w:ascii="仿宋" w:hAnsi="仿宋" w:eastAsia="仿宋" w:cs="仿宋"/>
          <w:b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3"/>
      <w:bookmarkEnd w:id="4"/>
      <w:bookmarkEnd w:id="5"/>
      <w:bookmarkEnd w:id="6"/>
      <w:bookmarkEnd w:id="7"/>
      <w:bookmarkEnd w:id="8"/>
      <w:bookmarkEnd w:id="9"/>
      <w:bookmarkEnd w:id="10"/>
    </w:p>
    <w:p w14:paraId="3886132D">
      <w:pPr>
        <w:pStyle w:val="3"/>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1" w:name="_Toc10634"/>
      <w:bookmarkStart w:id="12" w:name="_Toc8429"/>
      <w:bookmarkStart w:id="13" w:name="_Toc3931"/>
      <w:bookmarkStart w:id="14" w:name="_Toc14174"/>
      <w:bookmarkStart w:id="15" w:name="_Toc1077"/>
      <w:bookmarkStart w:id="16" w:name="_Toc30440"/>
      <w:bookmarkStart w:id="17" w:name="_Toc13419"/>
      <w:bookmarkStart w:id="18" w:name="_Toc8771"/>
      <w:r>
        <w:rPr>
          <w:rFonts w:hint="eastAsia" w:ascii="仿宋" w:hAnsi="仿宋" w:eastAsia="仿宋" w:cs="仿宋"/>
          <w:sz w:val="24"/>
          <w:szCs w:val="24"/>
        </w:rPr>
        <w:t>具有良好的商业信誉和健全的财务会计制度（提供2023或2024年度财务审计报告或开标前近6个月内的银行资信证明或财政部门认可的政府采购专业担保机构出具的投标担保函）；</w:t>
      </w:r>
      <w:bookmarkEnd w:id="11"/>
      <w:bookmarkEnd w:id="12"/>
      <w:bookmarkEnd w:id="13"/>
      <w:bookmarkEnd w:id="14"/>
      <w:bookmarkEnd w:id="15"/>
      <w:bookmarkEnd w:id="16"/>
      <w:bookmarkEnd w:id="17"/>
      <w:bookmarkEnd w:id="18"/>
    </w:p>
    <w:p w14:paraId="356DF711">
      <w:pPr>
        <w:pStyle w:val="3"/>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19" w:name="_Toc3343"/>
      <w:bookmarkStart w:id="20" w:name="_Toc11868"/>
      <w:bookmarkStart w:id="21" w:name="_Toc17741"/>
      <w:bookmarkStart w:id="22" w:name="_Toc27004"/>
      <w:bookmarkStart w:id="23" w:name="_Toc15773"/>
      <w:bookmarkStart w:id="24" w:name="_Toc27657"/>
      <w:bookmarkStart w:id="25" w:name="_Toc18078"/>
      <w:bookmarkStart w:id="26" w:name="_Toc18264"/>
      <w:bookmarkStart w:id="27" w:name="_Toc26700"/>
      <w:r>
        <w:rPr>
          <w:rFonts w:hint="eastAsia" w:ascii="仿宋" w:hAnsi="仿宋" w:eastAsia="仿宋" w:cs="仿宋"/>
          <w:sz w:val="24"/>
          <w:szCs w:val="24"/>
        </w:rPr>
        <w:t>具有履行合同所必需的设备和专业技术能力；</w:t>
      </w:r>
      <w:bookmarkEnd w:id="19"/>
      <w:bookmarkEnd w:id="20"/>
      <w:bookmarkEnd w:id="21"/>
      <w:bookmarkEnd w:id="22"/>
      <w:bookmarkEnd w:id="23"/>
      <w:bookmarkEnd w:id="24"/>
      <w:bookmarkEnd w:id="25"/>
      <w:bookmarkEnd w:id="26"/>
      <w:bookmarkEnd w:id="27"/>
    </w:p>
    <w:p w14:paraId="78E4C02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lang w:val="en-US" w:eastAsia="zh-CN"/>
        </w:rPr>
        <w:t>采购人</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w:t>
      </w:r>
    </w:p>
    <w:p w14:paraId="2AF1C2F2">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158E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3F44EB92">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4DAA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0E9B5C8">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4CB675C1">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3AEF554">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3CB9BA58">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31F2D815">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34EF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12B45C07">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29966C37">
            <w:pPr>
              <w:spacing w:line="360" w:lineRule="auto"/>
              <w:jc w:val="center"/>
              <w:rPr>
                <w:rFonts w:hint="eastAsia" w:ascii="仿宋" w:hAnsi="仿宋" w:eastAsia="仿宋" w:cs="仿宋"/>
                <w:sz w:val="24"/>
              </w:rPr>
            </w:pPr>
          </w:p>
        </w:tc>
        <w:tc>
          <w:tcPr>
            <w:tcW w:w="2268" w:type="dxa"/>
            <w:noWrap w:val="0"/>
            <w:vAlign w:val="center"/>
          </w:tcPr>
          <w:p w14:paraId="67FE1F91">
            <w:pPr>
              <w:spacing w:line="360" w:lineRule="auto"/>
              <w:jc w:val="center"/>
              <w:rPr>
                <w:rFonts w:hint="eastAsia" w:ascii="仿宋" w:hAnsi="仿宋" w:eastAsia="仿宋" w:cs="仿宋"/>
                <w:sz w:val="24"/>
              </w:rPr>
            </w:pPr>
          </w:p>
        </w:tc>
        <w:tc>
          <w:tcPr>
            <w:tcW w:w="851" w:type="dxa"/>
            <w:noWrap w:val="0"/>
            <w:vAlign w:val="center"/>
          </w:tcPr>
          <w:p w14:paraId="67316DC6">
            <w:pPr>
              <w:spacing w:line="360" w:lineRule="auto"/>
              <w:jc w:val="center"/>
              <w:rPr>
                <w:rFonts w:hint="eastAsia" w:ascii="仿宋" w:hAnsi="仿宋" w:eastAsia="仿宋" w:cs="仿宋"/>
                <w:sz w:val="24"/>
              </w:rPr>
            </w:pPr>
          </w:p>
        </w:tc>
        <w:tc>
          <w:tcPr>
            <w:tcW w:w="1621" w:type="dxa"/>
            <w:noWrap w:val="0"/>
            <w:vAlign w:val="center"/>
          </w:tcPr>
          <w:p w14:paraId="5095C412">
            <w:pPr>
              <w:spacing w:line="360" w:lineRule="auto"/>
              <w:jc w:val="center"/>
              <w:rPr>
                <w:rFonts w:hint="eastAsia" w:ascii="仿宋" w:hAnsi="仿宋" w:eastAsia="仿宋" w:cs="仿宋"/>
                <w:sz w:val="24"/>
              </w:rPr>
            </w:pPr>
          </w:p>
        </w:tc>
      </w:tr>
      <w:tr w14:paraId="46F6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1696136">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2061EC3">
            <w:pPr>
              <w:spacing w:line="360" w:lineRule="auto"/>
              <w:jc w:val="center"/>
              <w:rPr>
                <w:rFonts w:hint="eastAsia" w:ascii="仿宋" w:hAnsi="仿宋" w:eastAsia="仿宋" w:cs="仿宋"/>
                <w:sz w:val="24"/>
              </w:rPr>
            </w:pPr>
          </w:p>
        </w:tc>
        <w:tc>
          <w:tcPr>
            <w:tcW w:w="2268" w:type="dxa"/>
            <w:noWrap w:val="0"/>
            <w:vAlign w:val="center"/>
          </w:tcPr>
          <w:p w14:paraId="13B6F72E">
            <w:pPr>
              <w:spacing w:line="360" w:lineRule="auto"/>
              <w:jc w:val="center"/>
              <w:rPr>
                <w:rFonts w:hint="eastAsia" w:ascii="仿宋" w:hAnsi="仿宋" w:eastAsia="仿宋" w:cs="仿宋"/>
                <w:sz w:val="24"/>
              </w:rPr>
            </w:pPr>
          </w:p>
        </w:tc>
        <w:tc>
          <w:tcPr>
            <w:tcW w:w="851" w:type="dxa"/>
            <w:noWrap w:val="0"/>
            <w:vAlign w:val="center"/>
          </w:tcPr>
          <w:p w14:paraId="52C3F7F1">
            <w:pPr>
              <w:spacing w:line="360" w:lineRule="auto"/>
              <w:jc w:val="center"/>
              <w:rPr>
                <w:rFonts w:hint="eastAsia" w:ascii="仿宋" w:hAnsi="仿宋" w:eastAsia="仿宋" w:cs="仿宋"/>
                <w:sz w:val="24"/>
              </w:rPr>
            </w:pPr>
          </w:p>
        </w:tc>
        <w:tc>
          <w:tcPr>
            <w:tcW w:w="1621" w:type="dxa"/>
            <w:noWrap w:val="0"/>
            <w:vAlign w:val="center"/>
          </w:tcPr>
          <w:p w14:paraId="0EFA377F">
            <w:pPr>
              <w:spacing w:line="360" w:lineRule="auto"/>
              <w:jc w:val="center"/>
              <w:rPr>
                <w:rFonts w:hint="eastAsia" w:ascii="仿宋" w:hAnsi="仿宋" w:eastAsia="仿宋" w:cs="仿宋"/>
                <w:sz w:val="24"/>
              </w:rPr>
            </w:pPr>
          </w:p>
        </w:tc>
      </w:tr>
      <w:tr w14:paraId="129D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4793E7B7">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47A872F8">
            <w:pPr>
              <w:spacing w:line="360" w:lineRule="auto"/>
              <w:jc w:val="center"/>
              <w:rPr>
                <w:rFonts w:hint="eastAsia" w:ascii="仿宋" w:hAnsi="仿宋" w:eastAsia="仿宋" w:cs="仿宋"/>
                <w:sz w:val="24"/>
              </w:rPr>
            </w:pPr>
          </w:p>
        </w:tc>
        <w:tc>
          <w:tcPr>
            <w:tcW w:w="2268" w:type="dxa"/>
            <w:noWrap w:val="0"/>
            <w:vAlign w:val="center"/>
          </w:tcPr>
          <w:p w14:paraId="208B6BA0">
            <w:pPr>
              <w:spacing w:line="360" w:lineRule="auto"/>
              <w:jc w:val="center"/>
              <w:rPr>
                <w:rFonts w:hint="eastAsia" w:ascii="仿宋" w:hAnsi="仿宋" w:eastAsia="仿宋" w:cs="仿宋"/>
                <w:sz w:val="24"/>
              </w:rPr>
            </w:pPr>
          </w:p>
        </w:tc>
        <w:tc>
          <w:tcPr>
            <w:tcW w:w="851" w:type="dxa"/>
            <w:noWrap w:val="0"/>
            <w:vAlign w:val="center"/>
          </w:tcPr>
          <w:p w14:paraId="23F26448">
            <w:pPr>
              <w:spacing w:line="360" w:lineRule="auto"/>
              <w:jc w:val="center"/>
              <w:rPr>
                <w:rFonts w:hint="eastAsia" w:ascii="仿宋" w:hAnsi="仿宋" w:eastAsia="仿宋" w:cs="仿宋"/>
                <w:sz w:val="24"/>
              </w:rPr>
            </w:pPr>
          </w:p>
        </w:tc>
        <w:tc>
          <w:tcPr>
            <w:tcW w:w="1621" w:type="dxa"/>
            <w:noWrap w:val="0"/>
            <w:vAlign w:val="center"/>
          </w:tcPr>
          <w:p w14:paraId="663FD634">
            <w:pPr>
              <w:spacing w:line="360" w:lineRule="auto"/>
              <w:jc w:val="center"/>
              <w:rPr>
                <w:rFonts w:hint="eastAsia" w:ascii="仿宋" w:hAnsi="仿宋" w:eastAsia="仿宋" w:cs="仿宋"/>
                <w:sz w:val="24"/>
              </w:rPr>
            </w:pPr>
          </w:p>
        </w:tc>
      </w:tr>
      <w:tr w14:paraId="645E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38CC6A47">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23FE0FDE">
            <w:pPr>
              <w:spacing w:line="360" w:lineRule="auto"/>
              <w:jc w:val="center"/>
              <w:rPr>
                <w:rFonts w:hint="eastAsia" w:ascii="仿宋" w:hAnsi="仿宋" w:eastAsia="仿宋" w:cs="仿宋"/>
                <w:sz w:val="24"/>
              </w:rPr>
            </w:pPr>
          </w:p>
        </w:tc>
        <w:tc>
          <w:tcPr>
            <w:tcW w:w="2268" w:type="dxa"/>
            <w:noWrap w:val="0"/>
            <w:vAlign w:val="center"/>
          </w:tcPr>
          <w:p w14:paraId="0C84EA51">
            <w:pPr>
              <w:spacing w:line="360" w:lineRule="auto"/>
              <w:jc w:val="center"/>
              <w:rPr>
                <w:rFonts w:hint="eastAsia" w:ascii="仿宋" w:hAnsi="仿宋" w:eastAsia="仿宋" w:cs="仿宋"/>
                <w:sz w:val="24"/>
              </w:rPr>
            </w:pPr>
          </w:p>
        </w:tc>
        <w:tc>
          <w:tcPr>
            <w:tcW w:w="851" w:type="dxa"/>
            <w:noWrap w:val="0"/>
            <w:vAlign w:val="center"/>
          </w:tcPr>
          <w:p w14:paraId="603342F2">
            <w:pPr>
              <w:spacing w:line="360" w:lineRule="auto"/>
              <w:jc w:val="center"/>
              <w:rPr>
                <w:rFonts w:hint="eastAsia" w:ascii="仿宋" w:hAnsi="仿宋" w:eastAsia="仿宋" w:cs="仿宋"/>
                <w:sz w:val="24"/>
              </w:rPr>
            </w:pPr>
          </w:p>
        </w:tc>
        <w:tc>
          <w:tcPr>
            <w:tcW w:w="1621" w:type="dxa"/>
            <w:noWrap w:val="0"/>
            <w:vAlign w:val="center"/>
          </w:tcPr>
          <w:p w14:paraId="62A51726">
            <w:pPr>
              <w:spacing w:line="360" w:lineRule="auto"/>
              <w:jc w:val="center"/>
              <w:rPr>
                <w:rFonts w:hint="eastAsia" w:ascii="仿宋" w:hAnsi="仿宋" w:eastAsia="仿宋" w:cs="仿宋"/>
                <w:sz w:val="24"/>
              </w:rPr>
            </w:pPr>
          </w:p>
        </w:tc>
      </w:tr>
    </w:tbl>
    <w:p w14:paraId="3526CD41">
      <w:pPr>
        <w:spacing w:before="240" w:beforeLines="100" w:after="120" w:afterLines="50" w:line="360" w:lineRule="auto"/>
        <w:ind w:firstLine="170"/>
        <w:rPr>
          <w:rFonts w:hint="eastAsia" w:ascii="仿宋" w:hAnsi="仿宋" w:eastAsia="仿宋" w:cs="仿宋"/>
          <w:spacing w:val="4"/>
          <w:sz w:val="24"/>
          <w:szCs w:val="24"/>
        </w:rPr>
      </w:pPr>
    </w:p>
    <w:p w14:paraId="54282319">
      <w:pPr>
        <w:pStyle w:val="5"/>
        <w:numPr>
          <w:ilvl w:val="3"/>
          <w:numId w:val="0"/>
        </w:numPr>
        <w:spacing w:line="360" w:lineRule="auto"/>
        <w:ind w:leftChars="0"/>
        <w:rPr>
          <w:rFonts w:hint="eastAsia" w:ascii="仿宋" w:hAnsi="仿宋" w:eastAsia="仿宋" w:cs="仿宋"/>
          <w:spacing w:val="4"/>
          <w:sz w:val="24"/>
          <w:szCs w:val="24"/>
        </w:rPr>
      </w:pPr>
    </w:p>
    <w:p w14:paraId="036CB78B">
      <w:pPr>
        <w:spacing w:line="360" w:lineRule="auto"/>
        <w:rPr>
          <w:rFonts w:hint="eastAsia" w:ascii="仿宋" w:hAnsi="仿宋" w:eastAsia="仿宋" w:cs="仿宋"/>
          <w:sz w:val="24"/>
          <w:szCs w:val="24"/>
        </w:rPr>
      </w:pPr>
    </w:p>
    <w:p w14:paraId="1F55F07E">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BF28D45">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60DF1D5D">
      <w:pPr>
        <w:spacing w:line="360" w:lineRule="auto"/>
        <w:rPr>
          <w:rFonts w:hint="eastAsia" w:ascii="仿宋" w:hAnsi="仿宋" w:eastAsia="仿宋" w:cs="仿宋"/>
        </w:rPr>
      </w:pPr>
    </w:p>
    <w:p w14:paraId="59AF3D9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28" w:name="_Toc1663"/>
      <w:bookmarkStart w:id="29" w:name="_Toc15643"/>
      <w:bookmarkStart w:id="30" w:name="_Toc401"/>
      <w:bookmarkStart w:id="31" w:name="_Toc10553"/>
      <w:bookmarkStart w:id="32" w:name="_Toc3044"/>
      <w:bookmarkStart w:id="33" w:name="_Toc4301"/>
      <w:bookmarkStart w:id="34" w:name="_Toc15437"/>
      <w:bookmarkStart w:id="35" w:name="_Toc8263"/>
      <w:r>
        <w:rPr>
          <w:rFonts w:hint="eastAsia" w:ascii="仿宋" w:hAnsi="仿宋" w:eastAsia="仿宋" w:cs="仿宋"/>
          <w:sz w:val="24"/>
          <w:szCs w:val="24"/>
        </w:rPr>
        <w:t>具有依法缴纳税收和社会保障资金的良好记录（提供开标前6个月内任一月份的社保和缴纳税收的证明，依法不需要缴纳社会保障资金、免税或无须缴纳税款的供应商，应提供相关证明文件)；</w:t>
      </w:r>
      <w:bookmarkEnd w:id="28"/>
      <w:bookmarkEnd w:id="29"/>
      <w:bookmarkEnd w:id="30"/>
      <w:bookmarkEnd w:id="31"/>
      <w:bookmarkEnd w:id="32"/>
      <w:bookmarkEnd w:id="33"/>
      <w:bookmarkEnd w:id="34"/>
      <w:bookmarkEnd w:id="35"/>
    </w:p>
    <w:p w14:paraId="6111445D">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7D0B372C">
      <w:pPr>
        <w:spacing w:line="360" w:lineRule="auto"/>
        <w:rPr>
          <w:rFonts w:hint="eastAsia" w:ascii="仿宋" w:hAnsi="仿宋" w:eastAsia="仿宋" w:cs="仿宋"/>
          <w:sz w:val="24"/>
        </w:rPr>
      </w:pPr>
    </w:p>
    <w:p w14:paraId="704A104C">
      <w:pPr>
        <w:spacing w:line="360" w:lineRule="auto"/>
        <w:rPr>
          <w:rFonts w:hint="eastAsia" w:ascii="仿宋" w:hAnsi="仿宋" w:eastAsia="仿宋" w:cs="仿宋"/>
          <w:sz w:val="24"/>
        </w:rPr>
      </w:pPr>
      <w:r>
        <w:rPr>
          <w:rFonts w:hint="eastAsia" w:ascii="仿宋" w:hAnsi="仿宋" w:eastAsia="仿宋" w:cs="仿宋"/>
          <w:sz w:val="24"/>
        </w:rPr>
        <w:t>说明：</w:t>
      </w:r>
    </w:p>
    <w:p w14:paraId="5EA67B6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1、供应商须依法缴纳社会保障资金，须提供开标截止时间前6个月内任意1个月的社会保障资金缴纳记录复印件并加盖供应商单位公章，新开户的供应商提供社保开户证明，自行编写无效。</w:t>
      </w:r>
    </w:p>
    <w:p w14:paraId="5044939F">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36" w:name="_Toc109543226"/>
      <w:bookmarkStart w:id="37" w:name="_Toc109542406"/>
      <w:r>
        <w:rPr>
          <w:rFonts w:hint="eastAsia" w:ascii="仿宋" w:hAnsi="仿宋" w:eastAsia="仿宋" w:cs="仿宋"/>
          <w:sz w:val="24"/>
        </w:rPr>
        <w:t>。</w:t>
      </w:r>
      <w:bookmarkEnd w:id="36"/>
      <w:bookmarkEnd w:id="37"/>
    </w:p>
    <w:p w14:paraId="0DC02900">
      <w:pPr>
        <w:spacing w:line="360" w:lineRule="auto"/>
        <w:rPr>
          <w:rFonts w:hint="eastAsia" w:ascii="仿宋" w:hAnsi="仿宋" w:eastAsia="仿宋" w:cs="仿宋"/>
          <w:sz w:val="24"/>
        </w:rPr>
      </w:pPr>
    </w:p>
    <w:p w14:paraId="4CB74EA3">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48F722E6">
      <w:pPr>
        <w:spacing w:line="360" w:lineRule="auto"/>
        <w:rPr>
          <w:rFonts w:hint="eastAsia" w:ascii="仿宋" w:hAnsi="仿宋" w:eastAsia="仿宋" w:cs="仿宋"/>
          <w:sz w:val="24"/>
        </w:rPr>
      </w:pPr>
    </w:p>
    <w:p w14:paraId="652E97FC">
      <w:pPr>
        <w:spacing w:line="360" w:lineRule="auto"/>
        <w:rPr>
          <w:rFonts w:hint="eastAsia" w:ascii="仿宋" w:hAnsi="仿宋" w:eastAsia="仿宋" w:cs="仿宋"/>
          <w:sz w:val="24"/>
        </w:rPr>
      </w:pPr>
      <w:r>
        <w:rPr>
          <w:rFonts w:hint="eastAsia" w:ascii="仿宋" w:hAnsi="仿宋" w:eastAsia="仿宋" w:cs="仿宋"/>
          <w:sz w:val="24"/>
        </w:rPr>
        <w:t>说明：</w:t>
      </w:r>
    </w:p>
    <w:p w14:paraId="43E557E6">
      <w:pPr>
        <w:spacing w:line="360" w:lineRule="auto"/>
        <w:rPr>
          <w:rFonts w:hint="eastAsia" w:ascii="仿宋" w:hAnsi="仿宋" w:eastAsia="仿宋" w:cs="仿宋"/>
          <w:sz w:val="24"/>
        </w:rPr>
      </w:pPr>
      <w:r>
        <w:rPr>
          <w:rFonts w:hint="eastAsia" w:ascii="仿宋" w:hAnsi="仿宋" w:eastAsia="仿宋" w:cs="仿宋"/>
          <w:sz w:val="24"/>
        </w:rPr>
        <w:t>1、供应商须提供开标截止时间前6个月内任意1个月的依法缴纳税收记录（依法免税或无须缴纳税款的供应商，应提供相关证明文件)。</w:t>
      </w:r>
    </w:p>
    <w:p w14:paraId="0A36226C">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707347C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38" w:name="_Toc4031"/>
      <w:bookmarkStart w:id="39" w:name="_Toc12725"/>
      <w:bookmarkStart w:id="40" w:name="_Toc17122"/>
      <w:bookmarkStart w:id="41" w:name="_Toc28150"/>
      <w:bookmarkStart w:id="42" w:name="_Toc19428"/>
      <w:bookmarkStart w:id="43" w:name="_Toc25153"/>
      <w:bookmarkStart w:id="44" w:name="_Toc28139"/>
      <w:bookmarkStart w:id="45" w:name="_Toc10315"/>
      <w:bookmarkStart w:id="46" w:name="_Toc9138"/>
      <w:r>
        <w:rPr>
          <w:rFonts w:hint="eastAsia" w:ascii="仿宋" w:hAnsi="仿宋" w:eastAsia="仿宋" w:cs="仿宋"/>
          <w:sz w:val="24"/>
          <w:szCs w:val="24"/>
        </w:rPr>
        <w:t>参加政府采购活动前三年内，在经营活动中没有重大违法记录；</w:t>
      </w:r>
      <w:bookmarkEnd w:id="38"/>
      <w:bookmarkEnd w:id="39"/>
      <w:bookmarkEnd w:id="40"/>
      <w:bookmarkEnd w:id="41"/>
      <w:bookmarkEnd w:id="42"/>
      <w:bookmarkEnd w:id="43"/>
      <w:bookmarkEnd w:id="44"/>
      <w:bookmarkEnd w:id="45"/>
      <w:bookmarkEnd w:id="46"/>
    </w:p>
    <w:p w14:paraId="3A895EDB">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934A76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180093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A72759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456EEFD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8655B4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17B408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D8C6A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11E51564">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D6FB1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28D03FC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7A758BD">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601F69EF">
      <w:pPr>
        <w:spacing w:before="240" w:beforeLines="100" w:after="120" w:afterLines="50" w:line="360" w:lineRule="auto"/>
        <w:ind w:firstLine="2592" w:firstLineChars="1076"/>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7B4DD84F">
      <w:pPr>
        <w:outlineLvl w:val="2"/>
      </w:pPr>
      <w:r>
        <w:rPr>
          <w:rFonts w:hint="eastAsia" w:ascii="仿宋" w:hAnsi="仿宋" w:eastAsia="仿宋" w:cs="仿宋"/>
          <w:b/>
          <w:bCs/>
          <w:sz w:val="24"/>
          <w:u w:val="single"/>
        </w:rPr>
        <w:br w:type="page"/>
      </w:r>
      <w:r>
        <w:rPr>
          <w:rFonts w:hint="eastAsia" w:ascii="仿宋" w:hAnsi="仿宋" w:eastAsia="仿宋" w:cs="仿宋"/>
          <w:b/>
          <w:bCs/>
          <w:sz w:val="24"/>
          <w:u w:val="none"/>
        </w:rPr>
        <w:t>供应商具备城乡规划</w:t>
      </w:r>
      <w:r>
        <w:rPr>
          <w:rFonts w:hint="eastAsia" w:ascii="仿宋" w:hAnsi="仿宋" w:eastAsia="仿宋" w:cs="仿宋"/>
          <w:b/>
          <w:bCs/>
          <w:sz w:val="24"/>
          <w:u w:val="none"/>
          <w:lang w:val="en-US" w:eastAsia="zh-CN"/>
        </w:rPr>
        <w:t>乙级（含乙级）及以上</w:t>
      </w:r>
      <w:r>
        <w:rPr>
          <w:rFonts w:hint="eastAsia" w:ascii="仿宋" w:hAnsi="仿宋" w:eastAsia="仿宋" w:cs="仿宋"/>
          <w:b/>
          <w:bCs/>
          <w:sz w:val="24"/>
          <w:u w:val="none"/>
        </w:rPr>
        <w:t>编制资质。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D5F6D00"/>
    <w:rsid w:val="216337D3"/>
    <w:rsid w:val="3E710F2E"/>
    <w:rsid w:val="4BB32C30"/>
    <w:rsid w:val="5F177148"/>
    <w:rsid w:val="5FA25196"/>
    <w:rsid w:val="6380774B"/>
    <w:rsid w:val="72024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pPr>
      <w:numPr>
        <w:ilvl w:val="3"/>
        <w:numId w:val="1"/>
      </w:numPr>
      <w:spacing w:line="460" w:lineRule="exact"/>
    </w:pPr>
    <w:rPr>
      <w:rFonts w:cs="Times New Roman"/>
      <w:szCs w:val="16"/>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1551</Words>
  <Characters>1560</Characters>
  <Lines>0</Lines>
  <Paragraphs>0</Paragraphs>
  <TotalTime>0</TotalTime>
  <ScaleCrop>false</ScaleCrop>
  <LinksUpToDate>false</LinksUpToDate>
  <CharactersWithSpaces>1901</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6221530</cp:lastModifiedBy>
  <dcterms:modified xsi:type="dcterms:W3CDTF">2025-07-13T02:39:19Z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D4A28572802740AC95482A4FB65E9C3E_13</vt:lpwstr>
  </property>
  <property fmtid="{D5CDD505-2E9C-101B-9397-08002B2CF9AE}" pid="4" name="KSOTemplateDocerSaveRecord">
    <vt:lpwstr>eyJoZGlkIjoiNjYyOGRkMDlmM2Y2OGQxMWZjZTAwYjNmOTk3OGIzY2MiLCJ1c2VySWQiOiIxODMwNDYxIn0=</vt:lpwstr>
  </property>
</Properties>
</file>