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版本号：HRC-ZBDL-2025-0116420250909002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大荔县2025年农村卫生改厕厕具采购项目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HRC-ZBDL-2025-01164</w:t>
      </w:r>
      <w:r>
        <w:br/>
      </w:r>
      <w:r>
        <w:br/>
      </w:r>
      <w:r>
        <w:br/>
      </w:r>
    </w:p>
    <w:p>
      <w:pPr>
        <w:pStyle w:val="null3"/>
        <w:jc w:val="center"/>
        <w:outlineLvl w:val="2"/>
      </w:pPr>
      <w:r>
        <w:rPr>
          <w:rFonts w:ascii="仿宋_GB2312" w:hAnsi="仿宋_GB2312" w:cs="仿宋_GB2312" w:eastAsia="仿宋_GB2312"/>
          <w:sz w:val="28"/>
          <w:b/>
        </w:rPr>
        <w:t>大荔县乡村振兴服务中心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大荔县乡村振兴服务中心</w:t>
      </w:r>
      <w:r>
        <w:rPr>
          <w:rFonts w:ascii="仿宋_GB2312" w:hAnsi="仿宋_GB2312" w:cs="仿宋_GB2312" w:eastAsia="仿宋_GB2312"/>
        </w:rPr>
        <w:t>委托，拟对</w:t>
      </w:r>
      <w:r>
        <w:rPr>
          <w:rFonts w:ascii="仿宋_GB2312" w:hAnsi="仿宋_GB2312" w:cs="仿宋_GB2312" w:eastAsia="仿宋_GB2312"/>
        </w:rPr>
        <w:t>大荔县2025年农村卫生改厕厕具采购项目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大荔县2025年农村卫生改厕厕具采购项目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完成农村卫生户厕改造，改善农村人居生活环境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采购包1（大荔县2025年农村卫生改厕厕具采购项目）：属于专门面向中小企业采购。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大荔县乡村振兴服务中心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陕西省大荔县花城路26号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大荔县乡村振兴服务中心经办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 计价格【2002】1980号）及《国家发改委关于降低部分建设项目收费标准规范收费行为等有 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大荔县乡村振兴服务中心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大荔县乡村振兴服务中心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大荔县乡村振兴服务中心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完成农村卫生户厕改造，改善农村人居生活环境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3,450,000.00</w:t>
      </w:r>
    </w:p>
    <w:p>
      <w:pPr>
        <w:pStyle w:val="null3"/>
      </w:pPr>
      <w:r>
        <w:rPr>
          <w:rFonts w:ascii="仿宋_GB2312" w:hAnsi="仿宋_GB2312" w:cs="仿宋_GB2312" w:eastAsia="仿宋_GB2312"/>
        </w:rPr>
        <w:t>采购包最高限价（元）: 3,450,000.00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三格式化粪池（1.5方）、陶瓷蹲便器、冲厕器等配套设施，共计6000套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标的名称：三格式化粪池（1.5方）、陶瓷蹲便器、冲厕器等配套设施，共计6000套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三格化粪池</w:t>
            </w:r>
            <w:r>
              <w:rPr>
                <w:rFonts w:ascii="仿宋_GB2312" w:hAnsi="仿宋_GB2312" w:cs="仿宋_GB2312" w:eastAsia="仿宋_GB2312"/>
                <w:sz w:val="24"/>
                <w:color w:val="000000"/>
              </w:rPr>
              <w:t>（核心产品）：</w:t>
            </w:r>
            <w:r>
              <w:rPr>
                <w:rFonts w:ascii="仿宋_GB2312" w:hAnsi="仿宋_GB2312" w:cs="仿宋_GB2312" w:eastAsia="仿宋_GB2312"/>
                <w:sz w:val="24"/>
                <w:color w:val="000000"/>
              </w:rPr>
              <w:t>6000套，</w:t>
            </w:r>
          </w:p>
          <w:p>
            <w:pPr>
              <w:pStyle w:val="null3"/>
            </w:pPr>
            <w:r>
              <w:rPr>
                <w:rFonts w:ascii="仿宋_GB2312" w:hAnsi="仿宋_GB2312" w:cs="仿宋_GB2312" w:eastAsia="仿宋_GB2312"/>
                <w:sz w:val="24"/>
                <w:color w:val="000000"/>
              </w:rPr>
              <w:t>（1）外观尺寸：2010*1092*1041（mm）</w:t>
            </w:r>
            <w:r>
              <w:br/>
            </w:r>
            <w:r>
              <w:rPr>
                <w:rFonts w:ascii="仿宋_GB2312" w:hAnsi="仿宋_GB2312" w:cs="仿宋_GB2312" w:eastAsia="仿宋_GB2312"/>
                <w:sz w:val="24"/>
                <w:color w:val="000000"/>
              </w:rPr>
              <w:t>（2）一体化粪池外表目测应色泽均匀、光滑平整、无裂纹、表面加强筋应完整，内表面应光滑平整，无裂纹、边缘应整齐，壁厚均匀。</w:t>
            </w:r>
            <w:r>
              <w:br/>
            </w:r>
            <w:r>
              <w:rPr>
                <w:rFonts w:ascii="仿宋_GB2312" w:hAnsi="仿宋_GB2312" w:cs="仿宋_GB2312" w:eastAsia="仿宋_GB2312"/>
                <w:sz w:val="24"/>
                <w:color w:val="000000"/>
              </w:rPr>
              <w:t>（3）壁厚≥4mm</w:t>
            </w:r>
            <w:r>
              <w:br/>
            </w:r>
            <w:r>
              <w:rPr>
                <w:rFonts w:ascii="仿宋_GB2312" w:hAnsi="仿宋_GB2312" w:cs="仿宋_GB2312" w:eastAsia="仿宋_GB2312"/>
                <w:sz w:val="24"/>
                <w:color w:val="000000"/>
              </w:rPr>
              <w:t>（4)拉伸强度≥18MPA</w:t>
            </w:r>
            <w:r>
              <w:br/>
            </w:r>
            <w:r>
              <w:rPr>
                <w:rFonts w:ascii="仿宋_GB2312" w:hAnsi="仿宋_GB2312" w:cs="仿宋_GB2312" w:eastAsia="仿宋_GB2312"/>
                <w:sz w:val="24"/>
                <w:color w:val="000000"/>
              </w:rPr>
              <w:t>(5)冲击测试，在常温23℃±2℃条件下，在化粪池罐体中央部位上方，用一个质量为2公斤的dn90型锤头自由跌落至式样上无破坏、无损坏、无变形。</w:t>
            </w:r>
            <w:r>
              <w:br/>
            </w:r>
            <w:r>
              <w:rPr>
                <w:rFonts w:ascii="仿宋_GB2312" w:hAnsi="仿宋_GB2312" w:cs="仿宋_GB2312" w:eastAsia="仿宋_GB2312"/>
                <w:sz w:val="24"/>
                <w:color w:val="000000"/>
              </w:rPr>
              <w:t>（6)断裂伸长率≥80%</w:t>
            </w:r>
            <w:r>
              <w:br/>
            </w:r>
            <w:r>
              <w:rPr>
                <w:rFonts w:ascii="仿宋_GB2312" w:hAnsi="仿宋_GB2312" w:cs="仿宋_GB2312" w:eastAsia="仿宋_GB2312"/>
                <w:sz w:val="24"/>
                <w:color w:val="000000"/>
              </w:rPr>
              <w:t>（7）静荷载符合标准要求</w:t>
            </w:r>
            <w:r>
              <w:br/>
            </w:r>
            <w:r>
              <w:rPr>
                <w:rFonts w:ascii="仿宋_GB2312" w:hAnsi="仿宋_GB2312" w:cs="仿宋_GB2312" w:eastAsia="仿宋_GB2312"/>
                <w:sz w:val="24"/>
                <w:color w:val="000000"/>
              </w:rPr>
              <w:t>（8）密封性符合标准要求</w:t>
            </w:r>
            <w:r>
              <w:br/>
            </w:r>
            <w:r>
              <w:rPr>
                <w:rFonts w:ascii="仿宋_GB2312" w:hAnsi="仿宋_GB2312" w:cs="仿宋_GB2312" w:eastAsia="仿宋_GB2312"/>
                <w:sz w:val="24"/>
                <w:color w:val="000000"/>
              </w:rPr>
              <w:t>（9）密度要求930—960kg/m³</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冲厕器：6000套，</w:t>
            </w:r>
          </w:p>
          <w:p>
            <w:pPr>
              <w:pStyle w:val="null3"/>
              <w:jc w:val="left"/>
            </w:pPr>
            <w:r>
              <w:rPr>
                <w:rFonts w:ascii="仿宋_GB2312" w:hAnsi="仿宋_GB2312" w:cs="仿宋_GB2312" w:eastAsia="仿宋_GB2312"/>
                <w:sz w:val="24"/>
                <w:color w:val="000000"/>
              </w:rPr>
              <w:t>（1）使用环境：零下</w:t>
            </w:r>
            <w:r>
              <w:rPr>
                <w:rFonts w:ascii="仿宋_GB2312" w:hAnsi="仿宋_GB2312" w:cs="仿宋_GB2312" w:eastAsia="仿宋_GB2312"/>
                <w:sz w:val="24"/>
                <w:color w:val="000000"/>
              </w:rPr>
              <w:t>30°到零上50°</w:t>
            </w:r>
          </w:p>
          <w:p>
            <w:pPr>
              <w:pStyle w:val="null3"/>
              <w:jc w:val="left"/>
            </w:pPr>
            <w:r>
              <w:rPr>
                <w:rFonts w:ascii="仿宋_GB2312" w:hAnsi="仿宋_GB2312" w:cs="仿宋_GB2312" w:eastAsia="仿宋_GB2312"/>
                <w:sz w:val="24"/>
                <w:color w:val="000000"/>
              </w:rPr>
              <w:t>（2）型号：</w:t>
            </w:r>
            <w:r>
              <w:rPr>
                <w:rFonts w:ascii="仿宋_GB2312" w:hAnsi="仿宋_GB2312" w:cs="仿宋_GB2312" w:eastAsia="仿宋_GB2312"/>
                <w:sz w:val="24"/>
                <w:color w:val="000000"/>
              </w:rPr>
              <w:t>35升保温</w:t>
            </w:r>
          </w:p>
          <w:p>
            <w:pPr>
              <w:pStyle w:val="null3"/>
              <w:jc w:val="left"/>
            </w:pPr>
            <w:r>
              <w:rPr>
                <w:rFonts w:ascii="仿宋_GB2312" w:hAnsi="仿宋_GB2312" w:cs="仿宋_GB2312" w:eastAsia="仿宋_GB2312"/>
                <w:sz w:val="24"/>
                <w:color w:val="000000"/>
              </w:rPr>
              <w:t>（3）尺寸：高度</w:t>
            </w:r>
            <w:r>
              <w:rPr>
                <w:rFonts w:ascii="仿宋_GB2312" w:hAnsi="仿宋_GB2312" w:cs="仿宋_GB2312" w:eastAsia="仿宋_GB2312"/>
                <w:sz w:val="24"/>
                <w:color w:val="000000"/>
              </w:rPr>
              <w:t>75 直径30公分</w:t>
            </w:r>
          </w:p>
          <w:p>
            <w:pPr>
              <w:pStyle w:val="null3"/>
              <w:jc w:val="left"/>
            </w:pPr>
            <w:r>
              <w:rPr>
                <w:rFonts w:ascii="仿宋_GB2312" w:hAnsi="仿宋_GB2312" w:cs="仿宋_GB2312" w:eastAsia="仿宋_GB2312"/>
                <w:sz w:val="24"/>
                <w:color w:val="000000"/>
              </w:rPr>
              <w:t>（4）材质：聚乙烯</w:t>
            </w:r>
          </w:p>
          <w:p>
            <w:pPr>
              <w:pStyle w:val="null3"/>
              <w:jc w:val="left"/>
            </w:pPr>
            <w:r>
              <w:rPr>
                <w:rFonts w:ascii="仿宋_GB2312" w:hAnsi="仿宋_GB2312" w:cs="仿宋_GB2312" w:eastAsia="仿宋_GB2312"/>
                <w:sz w:val="24"/>
                <w:color w:val="000000"/>
              </w:rPr>
              <w:t>（5）最小壁厚</w:t>
            </w:r>
            <w:r>
              <w:rPr>
                <w:rFonts w:ascii="仿宋_GB2312" w:hAnsi="仿宋_GB2312" w:cs="仿宋_GB2312" w:eastAsia="仿宋_GB2312"/>
                <w:sz w:val="24"/>
                <w:color w:val="000000"/>
              </w:rPr>
              <w:t>2.0，出水量0.35升</w:t>
            </w:r>
          </w:p>
          <w:p>
            <w:pPr>
              <w:pStyle w:val="null3"/>
              <w:jc w:val="left"/>
            </w:pPr>
            <w:r>
              <w:rPr>
                <w:rFonts w:ascii="仿宋_GB2312" w:hAnsi="仿宋_GB2312" w:cs="仿宋_GB2312" w:eastAsia="仿宋_GB2312"/>
                <w:sz w:val="24"/>
                <w:color w:val="000000"/>
              </w:rPr>
              <w:t>（6）踏杆行程</w:t>
            </w:r>
            <w:r>
              <w:rPr>
                <w:rFonts w:ascii="仿宋_GB2312" w:hAnsi="仿宋_GB2312" w:cs="仿宋_GB2312" w:eastAsia="仿宋_GB2312"/>
                <w:sz w:val="24"/>
                <w:color w:val="000000"/>
              </w:rPr>
              <w:t>175mm</w:t>
            </w:r>
          </w:p>
          <w:p>
            <w:pPr>
              <w:pStyle w:val="null3"/>
              <w:jc w:val="both"/>
            </w:pPr>
            <w:r>
              <w:rPr>
                <w:rFonts w:ascii="仿宋_GB2312" w:hAnsi="仿宋_GB2312" w:cs="仿宋_GB2312" w:eastAsia="仿宋_GB2312"/>
                <w:sz w:val="24"/>
                <w:color w:val="000000"/>
              </w:rPr>
              <w:t>（7）容积</w:t>
            </w:r>
            <w:r>
              <w:rPr>
                <w:rFonts w:ascii="仿宋_GB2312" w:hAnsi="仿宋_GB2312" w:cs="仿宋_GB2312" w:eastAsia="仿宋_GB2312"/>
                <w:sz w:val="24"/>
                <w:color w:val="000000"/>
              </w:rPr>
              <w:t>35升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陶瓷蹲便器：6000套，</w:t>
            </w:r>
          </w:p>
          <w:p>
            <w:pPr>
              <w:pStyle w:val="null3"/>
              <w:jc w:val="left"/>
            </w:pPr>
            <w:r>
              <w:rPr>
                <w:rFonts w:ascii="仿宋_GB2312" w:hAnsi="仿宋_GB2312" w:cs="仿宋_GB2312" w:eastAsia="仿宋_GB2312"/>
                <w:sz w:val="24"/>
                <w:color w:val="000000"/>
              </w:rPr>
              <w:t>（1）尺寸：</w:t>
            </w:r>
            <w:r>
              <w:rPr>
                <w:rFonts w:ascii="仿宋_GB2312" w:hAnsi="仿宋_GB2312" w:cs="仿宋_GB2312" w:eastAsia="仿宋_GB2312"/>
                <w:sz w:val="24"/>
                <w:color w:val="000000"/>
              </w:rPr>
              <w:t>560*420(mm)</w:t>
            </w:r>
          </w:p>
          <w:p>
            <w:pPr>
              <w:pStyle w:val="null3"/>
              <w:jc w:val="both"/>
            </w:pPr>
            <w:r>
              <w:rPr>
                <w:rFonts w:ascii="仿宋_GB2312" w:hAnsi="仿宋_GB2312" w:cs="仿宋_GB2312" w:eastAsia="仿宋_GB2312"/>
                <w:sz w:val="24"/>
                <w:color w:val="000000"/>
              </w:rPr>
              <w:t>（2）吸水率</w:t>
            </w:r>
            <w:r>
              <w:rPr>
                <w:rFonts w:ascii="仿宋_GB2312" w:hAnsi="仿宋_GB2312" w:cs="仿宋_GB2312" w:eastAsia="仿宋_GB2312"/>
                <w:sz w:val="24"/>
                <w:color w:val="000000"/>
              </w:rPr>
              <w:t>GB/T 6952-2015/8.4  ≤0.5% ；</w:t>
            </w:r>
          </w:p>
          <w:p>
            <w:pPr>
              <w:pStyle w:val="null3"/>
              <w:jc w:val="both"/>
            </w:pPr>
            <w:r>
              <w:rPr>
                <w:rFonts w:ascii="仿宋_GB2312" w:hAnsi="仿宋_GB2312" w:cs="仿宋_GB2312" w:eastAsia="仿宋_GB2312"/>
                <w:sz w:val="24"/>
                <w:color w:val="000000"/>
              </w:rPr>
              <w:t>（3）排污口外径 GB/T 6952-2015/8.3.4.5 ≤107mm；抗裂性 GB/T 6952-2015/8.5 应无釉裂、无坯裂；</w:t>
            </w:r>
          </w:p>
          <w:p>
            <w:pPr>
              <w:pStyle w:val="null3"/>
              <w:jc w:val="both"/>
            </w:pPr>
            <w:r>
              <w:rPr>
                <w:rFonts w:ascii="仿宋_GB2312" w:hAnsi="仿宋_GB2312" w:cs="仿宋_GB2312" w:eastAsia="仿宋_GB2312"/>
                <w:sz w:val="24"/>
                <w:color w:val="000000"/>
              </w:rPr>
              <w:t>（4）洗净功能 GB/T 6952-2015/8.8.4.3 残留墨线的总长度:≤50，单段最大值≤13 mm ；</w:t>
            </w:r>
          </w:p>
          <w:p>
            <w:pPr>
              <w:pStyle w:val="null3"/>
              <w:jc w:val="both"/>
            </w:pPr>
            <w:r>
              <w:rPr>
                <w:rFonts w:ascii="仿宋_GB2312" w:hAnsi="仿宋_GB2312" w:cs="仿宋_GB2312" w:eastAsia="仿宋_GB2312"/>
                <w:sz w:val="24"/>
                <w:color w:val="000000"/>
              </w:rPr>
              <w:t>（5）防溅污性 GB/T 6952-2015/8.8.13 不得有水溅到模板上，直径小于8mm的溅射水滴或水雾不计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00"/>
              </w:rPr>
              <w:t>PVC管：24000m</w:t>
            </w:r>
          </w:p>
          <w:p>
            <w:pPr>
              <w:pStyle w:val="null3"/>
              <w:jc w:val="left"/>
            </w:pPr>
            <w:r>
              <w:rPr>
                <w:rFonts w:ascii="仿宋_GB2312" w:hAnsi="仿宋_GB2312" w:cs="仿宋_GB2312" w:eastAsia="仿宋_GB2312"/>
                <w:sz w:val="24"/>
                <w:color w:val="000000"/>
              </w:rPr>
              <w:t>(1)平均外径</w:t>
            </w:r>
            <w:r>
              <w:rPr>
                <w:rFonts w:ascii="仿宋_GB2312" w:hAnsi="仿宋_GB2312" w:cs="仿宋_GB2312" w:eastAsia="仿宋_GB2312"/>
                <w:sz w:val="24"/>
                <w:color w:val="000000"/>
              </w:rPr>
              <w:t>110.0mm——110.4mm</w:t>
            </w:r>
          </w:p>
          <w:p>
            <w:pPr>
              <w:pStyle w:val="null3"/>
              <w:jc w:val="left"/>
            </w:pPr>
            <w:r>
              <w:rPr>
                <w:rFonts w:ascii="仿宋_GB2312" w:hAnsi="仿宋_GB2312" w:cs="仿宋_GB2312" w:eastAsia="仿宋_GB2312"/>
                <w:sz w:val="24"/>
                <w:color w:val="000000"/>
              </w:rPr>
              <w:t>(2)壁厚</w:t>
            </w:r>
            <w:r>
              <w:rPr>
                <w:rFonts w:ascii="仿宋_GB2312" w:hAnsi="仿宋_GB2312" w:cs="仿宋_GB2312" w:eastAsia="仿宋_GB2312"/>
                <w:sz w:val="24"/>
                <w:color w:val="000000"/>
              </w:rPr>
              <w:t>2.9——3.5mm</w:t>
            </w:r>
          </w:p>
          <w:p>
            <w:pPr>
              <w:pStyle w:val="null3"/>
              <w:jc w:val="left"/>
            </w:pPr>
            <w:r>
              <w:rPr>
                <w:rFonts w:ascii="仿宋_GB2312" w:hAnsi="仿宋_GB2312" w:cs="仿宋_GB2312" w:eastAsia="仿宋_GB2312"/>
                <w:sz w:val="24"/>
                <w:color w:val="000000"/>
              </w:rPr>
              <w:t>(3)密度</w:t>
            </w:r>
            <w:r>
              <w:rPr>
                <w:rFonts w:ascii="仿宋_GB2312" w:hAnsi="仿宋_GB2312" w:cs="仿宋_GB2312" w:eastAsia="仿宋_GB2312"/>
                <w:sz w:val="24"/>
                <w:color w:val="000000"/>
              </w:rPr>
              <w:t>1350——2030kg/m³</w:t>
            </w:r>
          </w:p>
          <w:p>
            <w:pPr>
              <w:pStyle w:val="null3"/>
              <w:jc w:val="left"/>
            </w:pPr>
            <w:r>
              <w:rPr>
                <w:rFonts w:ascii="仿宋_GB2312" w:hAnsi="仿宋_GB2312" w:cs="仿宋_GB2312" w:eastAsia="仿宋_GB2312"/>
                <w:sz w:val="24"/>
                <w:color w:val="000000"/>
              </w:rPr>
              <w:t>(4)微卡软化温度</w:t>
            </w:r>
            <w:r>
              <w:rPr>
                <w:rFonts w:ascii="仿宋_GB2312" w:hAnsi="仿宋_GB2312" w:cs="仿宋_GB2312" w:eastAsia="仿宋_GB2312"/>
                <w:sz w:val="24"/>
                <w:color w:val="000000"/>
              </w:rPr>
              <w:t>≥76℃</w:t>
            </w:r>
          </w:p>
          <w:p>
            <w:pPr>
              <w:pStyle w:val="null3"/>
              <w:jc w:val="left"/>
            </w:pPr>
            <w:r>
              <w:rPr>
                <w:rFonts w:ascii="仿宋_GB2312" w:hAnsi="仿宋_GB2312" w:cs="仿宋_GB2312" w:eastAsia="仿宋_GB2312"/>
                <w:sz w:val="24"/>
                <w:color w:val="000000"/>
              </w:rPr>
              <w:t>(5)纵向回缩率（</w:t>
            </w:r>
            <w:r>
              <w:rPr>
                <w:rFonts w:ascii="仿宋_GB2312" w:hAnsi="仿宋_GB2312" w:cs="仿宋_GB2312" w:eastAsia="仿宋_GB2312"/>
                <w:sz w:val="24"/>
                <w:color w:val="000000"/>
              </w:rPr>
              <w:t>150℃，1h）≤5%</w:t>
            </w:r>
          </w:p>
          <w:p>
            <w:pPr>
              <w:pStyle w:val="null3"/>
              <w:jc w:val="both"/>
            </w:pPr>
            <w:r>
              <w:rPr>
                <w:rFonts w:ascii="仿宋_GB2312" w:hAnsi="仿宋_GB2312" w:cs="仿宋_GB2312" w:eastAsia="仿宋_GB2312"/>
                <w:sz w:val="24"/>
                <w:color w:val="000000"/>
              </w:rPr>
              <w:t>(6)外观：管材内外壁光滑，无气泡、裂口和明显裂纹、凹陷、色泽不均及分解变色线。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合同签订生效后60天内需要交货完毕，质保期1年。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货物全部到场经验收合格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货物到场后，验收合格后须交接项目实施的全部资料，并填写验收报告单。验收须以合同、投标文件、澄清、及国家相应的标准、规范等为依据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本次服务项目应符合国家有关规范，确保达到最佳状态。 成交人应根据服务方案规范及质量要求进行服务工作，并在质保期内、外应对项目质量问题负责，采购人在服务过程中起到配合、监督及管理的作用。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 供有效的营业执照等证明文件，非法人单位参 照执行，自然人提供身份证明）； 2)提供2024年度经审计的财务报告或其开标前三个月内银行出具的资信证明； 3)有依法缴纳税收和社会保障资金的良 好记录：税收缴纳证明：提供投标文件提交截止时间前近半年内任意一月已缴纳的纳税证 明或完税证明（包含增值税、企业所得税至少 一种），依法免税或不需要缴纳税收的供应商应提供相关证明文件；社保缴纳证明：提供投 标文件提交截止时间前近半年内任意一月已 缴存的社会保障资金缴费证明或参保证明，依法不需要缴纳社会保障资金的供应商应提供相关证明文件； 4)具有履行合同所必需的设备和专业技术能力（提供承诺函）； 5)参加政府采购活动前三年内， 在经营活动中没有重大违法记录（提供书面声 明）； 6)法律、行政法规规定的其他条件（提供承诺函）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投标文件格式.docx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提供2024年度经审计的财务报告或其开标前三个月内银行出具的资信证明。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1）法定代表人被授权人参加的，须出具授权书（附法定代表人、被授权人身份证复印件）及被授权人在本单位证明（提供投标前三个月内任一月在本单位的社保缴纳记录或劳动合同）；法定代表人参加投标需提供本人身份证（提供投标前三个月内任一月在本单位的社保缴纳记录）； 2）信誉要求：供应商未被列入“中国执行信息公开网”失信被执行人名单（http://zxgk.court.gov.cn/shixin/），未被列入“信用中国”网站（www.creditchina.gov.cn）重大税收违法失信主体名单，未被列入“中国政府采购网”（www.ccgp.gov.cn）政府采购严重违法失信行为记录名单； 3）提供中小企业声明函。</w:t>
            </w:r>
          </w:p>
        </w:tc>
        <w:tc>
          <w:tcPr>
            <w:tcW w:type="dxa" w:w="1661"/>
          </w:tcPr>
          <w:p>
            <w:pPr>
              <w:pStyle w:val="null3"/>
            </w:pPr>
            <w:r>
              <w:rPr>
                <w:rFonts w:ascii="仿宋_GB2312" w:hAnsi="仿宋_GB2312" w:cs="仿宋_GB2312" w:eastAsia="仿宋_GB2312"/>
              </w:rPr>
              <w:t>投标文件格式.docx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投标文件格式.docx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投标文件格式.docx 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投标文件没有重大缺项</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投标文件的签署、加盖印章合格、有效；投标有效期与授权期限满足招标文件规定</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投标文件技术要求无漏项；商务条款无偏离</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报价未超过采购预算</w:t>
            </w:r>
          </w:p>
        </w:tc>
        <w:tc>
          <w:tcPr>
            <w:tcW w:type="dxa" w:w="3322"/>
          </w:tcPr>
          <w:p>
            <w:pPr>
              <w:pStyle w:val="null3"/>
            </w:pPr>
            <w:r>
              <w:rPr>
                <w:rFonts w:ascii="仿宋_GB2312" w:hAnsi="仿宋_GB2312" w:cs="仿宋_GB2312" w:eastAsia="仿宋_GB2312"/>
              </w:rPr>
              <w:t>报价未超过采购预算</w:t>
            </w:r>
          </w:p>
        </w:tc>
        <w:tc>
          <w:tcPr>
            <w:tcW w:type="dxa" w:w="1661"/>
          </w:tcPr>
          <w:p>
            <w:pPr>
              <w:pStyle w:val="null3"/>
            </w:pPr>
            <w:r>
              <w:rPr>
                <w:rFonts w:ascii="仿宋_GB2312" w:hAnsi="仿宋_GB2312" w:cs="仿宋_GB2312" w:eastAsia="仿宋_GB2312"/>
              </w:rPr>
              <w:t>投标文件格式.docx 开标一览表 中小企业声明函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价格分应当采用低价优先法计算，即满足招标文件要求且投标价格最低的投标报价为评标基准价，其价格分为满分。其他供应商的价格分统一按照下列公式计算： 投标报价得分=(评标基准价／投标报价)×价格权值 注：因落实政府采购政策进行价格调整的，以调整后的价格计算评标基准价和投标报价。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p>
            <w:pPr>
              <w:pStyle w:val="null3"/>
            </w:pPr>
            <w:r>
              <w:rPr>
                <w:rFonts w:ascii="仿宋_GB2312" w:hAnsi="仿宋_GB2312" w:cs="仿宋_GB2312" w:eastAsia="仿宋_GB2312"/>
              </w:rPr>
              <w:t>中小企业声明函</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1、商务要求完全响应招标文件要求的付款方式、供货期、 质保期、交货地点、履行合同所必须的专业技术能力证明（如销售协议、代理协议、生产厂商专项授权 、生产厂商售后服务承诺均可）完全响应计3分，质保期每增加1年加1分，最多加2分（5分）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2、项目实施方案及完善的进度保障计划，包括但不限于：（1）项目实施方案详细可行；（2）详细的供货计划、进度计划和安全保障计划；以上2项每满足一项得 3分，最高得 6分。每有一处内容存在缺陷扣1.5分，扣完为止；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人员配备：供应商针对本项目提供完整的人员配置包含：（具体人员姓名、年龄 、相关专业证书、岗位职责 、工作业绩和经验、当前分工）， 人员配置情况完整、科学、合理， 切合本项目情况，得4分；人员配置情况一般、较合理，切合本项目情况一般，得2分；人员配置情况不完整，不能切合本项目情况，不得分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销售渠道和维修机构</w:t>
            </w:r>
          </w:p>
        </w:tc>
        <w:tc>
          <w:tcPr>
            <w:tcW w:type="dxa" w:w="2492"/>
          </w:tcPr>
          <w:p>
            <w:pPr>
              <w:pStyle w:val="null3"/>
            </w:pPr>
            <w:r>
              <w:rPr>
                <w:rFonts w:ascii="仿宋_GB2312" w:hAnsi="仿宋_GB2312" w:cs="仿宋_GB2312" w:eastAsia="仿宋_GB2312"/>
              </w:rPr>
              <w:t>（1）提供详细具体可行的售后服务措施承诺及详尽可行的售后服务实施计划；（2）具有专业售后服务人员；以上2项每满足一项得 3分，最高得6分。每有一处内容存在缺陷扣1.5分，扣完为止；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（1）、有详尽、可行、安全的售前、 售中、售后服务承诺；（2）、服务条款及服务方案详细、切实可行；（3）、售后技术人员安排、服务规范；以上3项每满足一项得 3分，最高得9分。每有一处内容存在缺陷扣1.5分 ，扣完为止；未提供得0分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1、产品选型合理，主要技术指标及功能满足招标文件及行业技术标准的要求，（1）有详细的使用说明介绍；（2）能提供生产厂商的证明材料，以上2项每满足一项得 3分，最高得6分；每有一处内容存在缺陷扣1.5分，扣完为止； 未提供得0分； 2、（1）产品安全可靠、便于操作、性能良好，（2）能提供产品质量保证证书、产品质量检测报告、 国家相关部门要求的其它强制性资质等资料；以上2项每满足一项得 3分，最高得6分；每有一处内容存在缺陷扣1.5分，扣完为止；未提供得0分 3、所投产品符合节能绿色环保要求的并提供有效证明，每提供一项得1分，最高得3分； 4、产品技术参数明确、配置齐全，规格指标、功能配置、技术资料齐全，以上5项每满足一项得 3分，最高得15分；每有一处内容存在缺陷扣1.5分 ，扣完为止；未提供得0分 5、产品供货渠道正规 、无产权纠纷、符合国内相关行业标准、制造厂商质量管理体系认证完备、送货服务，以上5项每满足一项得 1分，最高得5分；未提供得0分。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同类业绩：提供2022年8月至今同类业绩合同（以合同签订时间为准，）一份计1分，最高得5分。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