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版本号：SXZHZB-2025-00720250923001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大荔县2025年实用性村庄规划编制工作项目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SXZHZB-2025-007</w:t>
      </w:r>
      <w:r>
        <w:br/>
      </w:r>
      <w:r>
        <w:br/>
      </w:r>
      <w:r>
        <w:br/>
      </w:r>
    </w:p>
    <w:p>
      <w:pPr>
        <w:pStyle w:val="null3"/>
        <w:jc w:val="center"/>
        <w:outlineLvl w:val="2"/>
      </w:pPr>
      <w:r>
        <w:rPr>
          <w:rFonts w:ascii="仿宋_GB2312" w:hAnsi="仿宋_GB2312" w:cs="仿宋_GB2312" w:eastAsia="仿宋_GB2312"/>
          <w:sz w:val="28"/>
          <w:b/>
        </w:rPr>
        <w:t>大荔县自然资源局</w:t>
      </w:r>
    </w:p>
    <w:p>
      <w:pPr>
        <w:pStyle w:val="null3"/>
        <w:jc w:val="center"/>
        <w:outlineLvl w:val="2"/>
      </w:pPr>
      <w:r>
        <w:rPr>
          <w:rFonts w:ascii="仿宋_GB2312" w:hAnsi="仿宋_GB2312" w:cs="仿宋_GB2312" w:eastAsia="仿宋_GB2312"/>
          <w:sz w:val="28"/>
          <w:b/>
        </w:rPr>
        <w:t>陕西中宏智博工程项目管理有限公司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陕西中宏智博工程项目管理有限公司</w:t>
      </w:r>
      <w:r>
        <w:rPr>
          <w:rFonts w:ascii="仿宋_GB2312" w:hAnsi="仿宋_GB2312" w:cs="仿宋_GB2312" w:eastAsia="仿宋_GB2312"/>
        </w:rPr>
        <w:t>（以下简称“代理机构”）受</w:t>
      </w:r>
      <w:r>
        <w:rPr>
          <w:rFonts w:ascii="仿宋_GB2312" w:hAnsi="仿宋_GB2312" w:cs="仿宋_GB2312" w:eastAsia="仿宋_GB2312"/>
        </w:rPr>
        <w:t>大荔县自然资源局</w:t>
      </w:r>
      <w:r>
        <w:rPr>
          <w:rFonts w:ascii="仿宋_GB2312" w:hAnsi="仿宋_GB2312" w:cs="仿宋_GB2312" w:eastAsia="仿宋_GB2312"/>
        </w:rPr>
        <w:t>委托，拟对</w:t>
      </w:r>
      <w:r>
        <w:rPr>
          <w:rFonts w:ascii="仿宋_GB2312" w:hAnsi="仿宋_GB2312" w:cs="仿宋_GB2312" w:eastAsia="仿宋_GB2312"/>
        </w:rPr>
        <w:t>大荔县2025年实用性村庄规划编制工作项目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SXZHZB-2025-007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大荔县2025年实用性村庄规划编制工作项目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完成2025年需编制的两宜镇寄楼村、苏村镇堡子村、洪善村、溢渡村、槐园村和苏村6个村庄的实用性村庄规划编制及审批工作，统筹村域全部国土空间，扎实推进村庄高质量发展和高效能治理，进一步促进乡村振兴战略深入实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采购包1（大荔县2025年实用性村庄规划编制工作）：属于专门面向中小企业采购。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1、法人证明或法人授权委 托书：法定代表人资格证明或法定代表人授权委托书原件、授权代表身份证复印件。</w:t>
      </w:r>
    </w:p>
    <w:p>
      <w:pPr>
        <w:pStyle w:val="null3"/>
      </w:pPr>
      <w:r>
        <w:rPr>
          <w:rFonts w:ascii="仿宋_GB2312" w:hAnsi="仿宋_GB2312" w:cs="仿宋_GB2312" w:eastAsia="仿宋_GB2312"/>
        </w:rPr>
        <w:t>2、供应商资质情况：供应商须具备相关行政主管部门颁发的城乡规划编制乙级及以上资质或土地规划编制乙级及以上资质证书。</w:t>
      </w:r>
    </w:p>
    <w:p>
      <w:pPr>
        <w:pStyle w:val="null3"/>
      </w:pPr>
      <w:r>
        <w:rPr>
          <w:rFonts w:ascii="仿宋_GB2312" w:hAnsi="仿宋_GB2312" w:cs="仿宋_GB2312" w:eastAsia="仿宋_GB2312"/>
        </w:rPr>
        <w:t>3、信用中国网 、中国执行 公开网和中 国政府采购 网查询情况：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大荔县东环路十字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赵股长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0913-3261050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陕西中宏智博工程项目管理有限公司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陕西省西安市雁塔区汇成天玺 B 座 2701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侯文静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18192515805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采购包1：1,074,000.00元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代理服务费收费标准：参照国家计委印发《招标代理服务收费管理暂行办法》的通知(计价格[2002]1980号)中相应取费标准计取。 代理费收款账户： 户名：陕西中宏智博工程项目管理有限公司 开户银行：中国建设银行股份有限公司西安长安西路支行 账 号：61050177004300000458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大荔县自然资源局</w:t>
      </w:r>
      <w:r>
        <w:rPr>
          <w:rFonts w:ascii="仿宋_GB2312" w:hAnsi="仿宋_GB2312" w:cs="仿宋_GB2312" w:eastAsia="仿宋_GB2312"/>
        </w:rPr>
        <w:t>和</w:t>
      </w:r>
      <w:r>
        <w:rPr>
          <w:rFonts w:ascii="仿宋_GB2312" w:hAnsi="仿宋_GB2312" w:cs="仿宋_GB2312" w:eastAsia="仿宋_GB2312"/>
        </w:rPr>
        <w:t>陕西中宏智博工程项目管理有限公司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陕西中宏智博工程项目管理有限公司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陕西中宏智博工程项目管理有限公司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陕西中宏智博工程项目管理有限公司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陕西中宏智博工程项目管理有限公司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陕西中宏智博工程项目管理有限公司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联系人：侯文静</w:t>
      </w:r>
    </w:p>
    <w:p>
      <w:pPr>
        <w:pStyle w:val="null3"/>
      </w:pPr>
      <w:r>
        <w:rPr>
          <w:rFonts w:ascii="仿宋_GB2312" w:hAnsi="仿宋_GB2312" w:cs="仿宋_GB2312" w:eastAsia="仿宋_GB2312"/>
        </w:rPr>
        <w:t>联系电话：18192515805</w:t>
      </w:r>
    </w:p>
    <w:p>
      <w:pPr>
        <w:pStyle w:val="null3"/>
      </w:pPr>
      <w:r>
        <w:rPr>
          <w:rFonts w:ascii="仿宋_GB2312" w:hAnsi="仿宋_GB2312" w:cs="仿宋_GB2312" w:eastAsia="仿宋_GB2312"/>
        </w:rPr>
        <w:t>地址：陕西省西安市雁塔区汇成天玺 B 座 2701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2025年需编制的两宜镇寄楼村、苏村镇堡子村、洪善村、溢渡村、槐园村和苏村6个村庄的实用性村庄规划编制及审批工作，统筹村域全部国土空间，扎实推进村庄高质量发展和高效能治理，进一步促进乡村振兴战略深入实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1,074,000.00</w:t>
      </w:r>
    </w:p>
    <w:p>
      <w:pPr>
        <w:pStyle w:val="null3"/>
      </w:pPr>
      <w:r>
        <w:rPr>
          <w:rFonts w:ascii="仿宋_GB2312" w:hAnsi="仿宋_GB2312" w:cs="仿宋_GB2312" w:eastAsia="仿宋_GB2312"/>
        </w:rPr>
        <w:t>采购包最高限价（元）: 1,074,000.00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两宜镇寄楼村、苏村镇堡子村、洪善村、溢渡村、槐园村和苏村6个村庄的实用性村庄规划编制及审批工作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标的名称：两宜镇寄楼村、苏村镇堡子村、洪善村、溢渡村、槐园村和苏村6个村庄的实用性村庄规划编制及审批工作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一、技术服务内容</w:t>
            </w:r>
          </w:p>
          <w:p>
            <w:pPr>
              <w:pStyle w:val="null3"/>
              <w:jc w:val="both"/>
            </w:pPr>
            <w:r>
              <w:rPr>
                <w:rFonts w:ascii="仿宋_GB2312" w:hAnsi="仿宋_GB2312" w:cs="仿宋_GB2312" w:eastAsia="仿宋_GB2312"/>
                <w:sz w:val="24"/>
              </w:rPr>
              <w:t>（一）工作内容</w:t>
            </w:r>
          </w:p>
          <w:p>
            <w:pPr>
              <w:pStyle w:val="null3"/>
              <w:ind w:firstLine="480"/>
              <w:jc w:val="both"/>
            </w:pPr>
            <w:r>
              <w:rPr>
                <w:rFonts w:ascii="仿宋_GB2312" w:hAnsi="仿宋_GB2312" w:cs="仿宋_GB2312" w:eastAsia="仿宋_GB2312"/>
                <w:sz w:val="24"/>
              </w:rPr>
              <w:t>合同包（</w:t>
            </w:r>
            <w:r>
              <w:rPr>
                <w:rFonts w:ascii="仿宋_GB2312" w:hAnsi="仿宋_GB2312" w:cs="仿宋_GB2312" w:eastAsia="仿宋_GB2312"/>
                <w:sz w:val="24"/>
              </w:rPr>
              <w:t>两宜镇寄楼村、苏村镇堡子村、洪善村、溢渡村、槐园村和苏村</w:t>
            </w:r>
            <w:r>
              <w:rPr>
                <w:rFonts w:ascii="仿宋_GB2312" w:hAnsi="仿宋_GB2312" w:cs="仿宋_GB2312" w:eastAsia="仿宋_GB2312"/>
                <w:sz w:val="24"/>
              </w:rPr>
              <w:t>6</w:t>
            </w:r>
            <w:r>
              <w:rPr>
                <w:rFonts w:ascii="仿宋_GB2312" w:hAnsi="仿宋_GB2312" w:cs="仿宋_GB2312" w:eastAsia="仿宋_GB2312"/>
                <w:sz w:val="24"/>
              </w:rPr>
              <w:t>个实用性村庄规划编制项目）：</w:t>
            </w:r>
          </w:p>
          <w:p>
            <w:pPr>
              <w:pStyle w:val="null3"/>
              <w:ind w:firstLine="480"/>
              <w:jc w:val="both"/>
            </w:pPr>
            <w:r>
              <w:rPr>
                <w:rFonts w:ascii="仿宋_GB2312" w:hAnsi="仿宋_GB2312" w:cs="仿宋_GB2312" w:eastAsia="仿宋_GB2312"/>
                <w:sz w:val="24"/>
              </w:rPr>
              <w:t>对各村庄的开发、利用和保护进行指导和管控；以保护自然生态环境为发展前提，综合整治农田及居民点生态环境，延续</w:t>
            </w:r>
            <w:r>
              <w:rPr>
                <w:rFonts w:ascii="仿宋_GB2312" w:hAnsi="仿宋_GB2312" w:cs="仿宋_GB2312" w:eastAsia="仿宋_GB2312"/>
                <w:sz w:val="24"/>
              </w:rPr>
              <w:t>“山、水、村、田”有机分散，统筹安排村庄各类资源，完善农村生产生活、交通居住条件和基础设施，为村庄进行各项建设提供法定依据</w:t>
            </w:r>
          </w:p>
          <w:p>
            <w:pPr>
              <w:pStyle w:val="null3"/>
              <w:jc w:val="both"/>
            </w:pPr>
            <w:r>
              <w:rPr>
                <w:rFonts w:ascii="仿宋_GB2312" w:hAnsi="仿宋_GB2312" w:cs="仿宋_GB2312" w:eastAsia="仿宋_GB2312"/>
                <w:sz w:val="24"/>
              </w:rPr>
              <w:t>（二）规划设计编制依据</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规划设计编制应符合下列法律法规及政策性文件（包含但不限于下列内容）：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1）法律法规</w:t>
            </w:r>
          </w:p>
          <w:p>
            <w:pPr>
              <w:pStyle w:val="null3"/>
              <w:jc w:val="both"/>
            </w:pPr>
            <w:r>
              <w:rPr>
                <w:rFonts w:ascii="仿宋_GB2312" w:hAnsi="仿宋_GB2312" w:cs="仿宋_GB2312" w:eastAsia="仿宋_GB2312"/>
                <w:sz w:val="24"/>
              </w:rPr>
              <w:t>《中华人民共和国土地管理法》；</w:t>
            </w:r>
          </w:p>
          <w:p>
            <w:pPr>
              <w:pStyle w:val="null3"/>
              <w:jc w:val="both"/>
            </w:pPr>
            <w:r>
              <w:rPr>
                <w:rFonts w:ascii="仿宋_GB2312" w:hAnsi="仿宋_GB2312" w:cs="仿宋_GB2312" w:eastAsia="仿宋_GB2312"/>
                <w:sz w:val="24"/>
              </w:rPr>
              <w:t>《中华人民共和国城乡规划法》；</w:t>
            </w:r>
          </w:p>
          <w:p>
            <w:pPr>
              <w:pStyle w:val="null3"/>
              <w:jc w:val="both"/>
            </w:pPr>
            <w:r>
              <w:rPr>
                <w:rFonts w:ascii="仿宋_GB2312" w:hAnsi="仿宋_GB2312" w:cs="仿宋_GB2312" w:eastAsia="仿宋_GB2312"/>
                <w:sz w:val="24"/>
              </w:rPr>
              <w:t>《中华人民共和国环境保护法》；</w:t>
            </w:r>
          </w:p>
          <w:p>
            <w:pPr>
              <w:pStyle w:val="null3"/>
              <w:jc w:val="both"/>
            </w:pPr>
            <w:r>
              <w:rPr>
                <w:rFonts w:ascii="仿宋_GB2312" w:hAnsi="仿宋_GB2312" w:cs="仿宋_GB2312" w:eastAsia="仿宋_GB2312"/>
                <w:sz w:val="24"/>
              </w:rPr>
              <w:t>《中华人民共和国乡村振兴促进法》；</w:t>
            </w:r>
          </w:p>
          <w:p>
            <w:pPr>
              <w:pStyle w:val="null3"/>
              <w:jc w:val="both"/>
            </w:pPr>
            <w:r>
              <w:rPr>
                <w:rFonts w:ascii="仿宋_GB2312" w:hAnsi="仿宋_GB2312" w:cs="仿宋_GB2312" w:eastAsia="仿宋_GB2312"/>
                <w:sz w:val="24"/>
              </w:rPr>
              <w:t>《基本农田保护条例》；</w:t>
            </w:r>
          </w:p>
          <w:p>
            <w:pPr>
              <w:pStyle w:val="null3"/>
              <w:jc w:val="both"/>
            </w:pPr>
            <w:r>
              <w:rPr>
                <w:rFonts w:ascii="仿宋_GB2312" w:hAnsi="仿宋_GB2312" w:cs="仿宋_GB2312" w:eastAsia="仿宋_GB2312"/>
                <w:sz w:val="24"/>
              </w:rPr>
              <w:t>《中华人民共和国土地管理法实施条例》；</w:t>
            </w:r>
          </w:p>
          <w:p>
            <w:pPr>
              <w:pStyle w:val="null3"/>
              <w:jc w:val="both"/>
            </w:pPr>
            <w:r>
              <w:rPr>
                <w:rFonts w:ascii="仿宋_GB2312" w:hAnsi="仿宋_GB2312" w:cs="仿宋_GB2312" w:eastAsia="仿宋_GB2312"/>
                <w:sz w:val="24"/>
              </w:rPr>
              <w:t>《历史文化名城名镇名村保护条例》；</w:t>
            </w:r>
          </w:p>
          <w:p>
            <w:pPr>
              <w:pStyle w:val="null3"/>
              <w:jc w:val="both"/>
            </w:pPr>
            <w:r>
              <w:rPr>
                <w:rFonts w:ascii="仿宋_GB2312" w:hAnsi="仿宋_GB2312" w:cs="仿宋_GB2312" w:eastAsia="仿宋_GB2312"/>
                <w:sz w:val="24"/>
              </w:rPr>
              <w:t>《村庄整治规划编制办法》（建村〔</w:t>
            </w:r>
            <w:r>
              <w:rPr>
                <w:rFonts w:ascii="仿宋_GB2312" w:hAnsi="仿宋_GB2312" w:cs="仿宋_GB2312" w:eastAsia="仿宋_GB2312"/>
                <w:sz w:val="24"/>
              </w:rPr>
              <w:t>2013〕188号）；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2）政策文件</w:t>
            </w:r>
          </w:p>
          <w:p>
            <w:pPr>
              <w:pStyle w:val="null3"/>
              <w:jc w:val="both"/>
            </w:pPr>
            <w:r>
              <w:rPr>
                <w:rFonts w:ascii="仿宋_GB2312" w:hAnsi="仿宋_GB2312" w:cs="仿宋_GB2312" w:eastAsia="仿宋_GB2312"/>
                <w:sz w:val="24"/>
              </w:rPr>
              <w:t>《中共中央国务院关于建立国土空间规划体系并监督实施的若干意见》（中发〔</w:t>
            </w:r>
            <w:r>
              <w:rPr>
                <w:rFonts w:ascii="仿宋_GB2312" w:hAnsi="仿宋_GB2312" w:cs="仿宋_GB2312" w:eastAsia="仿宋_GB2312"/>
                <w:sz w:val="24"/>
              </w:rPr>
              <w:t>2019〕18号），2019年5月3日；</w:t>
            </w:r>
          </w:p>
          <w:p>
            <w:pPr>
              <w:pStyle w:val="null3"/>
              <w:jc w:val="both"/>
            </w:pPr>
            <w:r>
              <w:rPr>
                <w:rFonts w:ascii="仿宋_GB2312" w:hAnsi="仿宋_GB2312" w:cs="仿宋_GB2312" w:eastAsia="仿宋_GB2312"/>
                <w:sz w:val="24"/>
              </w:rPr>
              <w:t>《中央农办农业农村部自然资源部国家发展改革委财政部关于统筹推进村庄规划的意见》（农规发</w:t>
            </w:r>
            <w:r>
              <w:rPr>
                <w:rFonts w:ascii="仿宋_GB2312" w:hAnsi="仿宋_GB2312" w:cs="仿宋_GB2312" w:eastAsia="仿宋_GB2312"/>
                <w:sz w:val="24"/>
              </w:rPr>
              <w:t>[2019]1号）；</w:t>
            </w:r>
          </w:p>
          <w:p>
            <w:pPr>
              <w:pStyle w:val="null3"/>
              <w:jc w:val="both"/>
            </w:pPr>
            <w:r>
              <w:rPr>
                <w:rFonts w:ascii="仿宋_GB2312" w:hAnsi="仿宋_GB2312" w:cs="仿宋_GB2312" w:eastAsia="仿宋_GB2312"/>
                <w:sz w:val="24"/>
              </w:rPr>
              <w:t>《中共中央国务院关于全面推进乡村振兴加快农业农村现代化的意见》（</w:t>
            </w:r>
            <w:r>
              <w:rPr>
                <w:rFonts w:ascii="仿宋_GB2312" w:hAnsi="仿宋_GB2312" w:cs="仿宋_GB2312" w:eastAsia="仿宋_GB2312"/>
                <w:sz w:val="24"/>
              </w:rPr>
              <w:t>2021年中央一号文件）；</w:t>
            </w:r>
          </w:p>
          <w:p>
            <w:pPr>
              <w:pStyle w:val="null3"/>
              <w:jc w:val="both"/>
            </w:pPr>
            <w:r>
              <w:rPr>
                <w:rFonts w:ascii="仿宋_GB2312" w:hAnsi="仿宋_GB2312" w:cs="仿宋_GB2312" w:eastAsia="仿宋_GB2312"/>
                <w:sz w:val="24"/>
              </w:rPr>
              <w:t>《自然资源部关于全面开展国土空间规划工作的通知》（自然资发〔</w:t>
            </w:r>
            <w:r>
              <w:rPr>
                <w:rFonts w:ascii="仿宋_GB2312" w:hAnsi="仿宋_GB2312" w:cs="仿宋_GB2312" w:eastAsia="仿宋_GB2312"/>
                <w:sz w:val="24"/>
              </w:rPr>
              <w:t>2019〕87号，2019年5月28日）；</w:t>
            </w:r>
          </w:p>
          <w:p>
            <w:pPr>
              <w:pStyle w:val="null3"/>
              <w:jc w:val="both"/>
            </w:pPr>
            <w:r>
              <w:rPr>
                <w:rFonts w:ascii="仿宋_GB2312" w:hAnsi="仿宋_GB2312" w:cs="仿宋_GB2312" w:eastAsia="仿宋_GB2312"/>
                <w:sz w:val="24"/>
              </w:rPr>
              <w:t>《自然资源部办公厅关于加强村庄规划促进乡村振兴的通知》（自然资办〔</w:t>
            </w:r>
            <w:r>
              <w:rPr>
                <w:rFonts w:ascii="仿宋_GB2312" w:hAnsi="仿宋_GB2312" w:cs="仿宋_GB2312" w:eastAsia="仿宋_GB2312"/>
                <w:sz w:val="24"/>
              </w:rPr>
              <w:t>2019〕35号，2019 年5月29日）；</w:t>
            </w:r>
          </w:p>
          <w:p>
            <w:pPr>
              <w:pStyle w:val="null3"/>
              <w:jc w:val="both"/>
            </w:pPr>
            <w:r>
              <w:rPr>
                <w:rFonts w:ascii="仿宋_GB2312" w:hAnsi="仿宋_GB2312" w:cs="仿宋_GB2312" w:eastAsia="仿宋_GB2312"/>
                <w:sz w:val="24"/>
              </w:rPr>
              <w:t>《自然资源部办公厅关于进一步做好村庄规划工作的意见》（自然资办发〔</w:t>
            </w:r>
            <w:r>
              <w:rPr>
                <w:rFonts w:ascii="仿宋_GB2312" w:hAnsi="仿宋_GB2312" w:cs="仿宋_GB2312" w:eastAsia="仿宋_GB2312"/>
                <w:sz w:val="24"/>
              </w:rPr>
              <w:t>2020〕57号），2020年12月15日；</w:t>
            </w:r>
          </w:p>
          <w:p>
            <w:pPr>
              <w:pStyle w:val="null3"/>
              <w:jc w:val="both"/>
            </w:pPr>
            <w:r>
              <w:rPr>
                <w:rFonts w:ascii="仿宋_GB2312" w:hAnsi="仿宋_GB2312" w:cs="仿宋_GB2312" w:eastAsia="仿宋_GB2312"/>
                <w:sz w:val="24"/>
              </w:rPr>
              <w:t>中共陕西省委办公厅陕西省人民政府办公厅关于印发</w:t>
            </w:r>
          </w:p>
          <w:p>
            <w:pPr>
              <w:pStyle w:val="null3"/>
              <w:jc w:val="both"/>
            </w:pPr>
            <w:r>
              <w:rPr>
                <w:rFonts w:ascii="仿宋_GB2312" w:hAnsi="仿宋_GB2312" w:cs="仿宋_GB2312" w:eastAsia="仿宋_GB2312"/>
                <w:sz w:val="24"/>
              </w:rPr>
              <w:t>（三）服务要求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根据采购人提供的有关资料和上级部门的相关要求，依照有关法规和规范等要求，按双方拟定的进度，按时、保质、保量提供相关数据及文件资料。</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）负责项目工作会议涉及项目方案的汇报工作，负责提供会议汇报材料、成果等。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）在项目工作过程和成果报过程中与采购人密切配合，做好成果的修改完善。</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）协助配合采购人组织项目成果评审和报审工作。</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）在服务期间，若省、市出台其他规定，应以省、市其他规定为准，如遇上级政策调整，应按上级新的时间要求和新的编制规程及政策要求,对所做成果进行调整和完善，并满足采购人对本项目的使用。</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）应保护采购人的知识产权。未经采购人同意，不得向第三方转让采购人提供有关图纸等技术经济资料。如发生以上情况并给采购人造成损失，采购人有权提出索赔。</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）应积极配合采购人处理在项目实施过程中遇到的专业性问题。应为采购人提供长期免费技术服务支持。服务期(含后续服务期)内须提供上门服务,须提供常设每周5x8 小时服务专线和免费技术支持。对采购人的服务通知，成交单位在接报后 1 小时内响应，12 小时内到达现场，一般问题 48 小时内处理完毕。非因成果质量问题需要到场服务的，可与采购人另行商议有偿服务费用。</w:t>
            </w:r>
          </w:p>
          <w:p>
            <w:pPr>
              <w:pStyle w:val="null3"/>
              <w:jc w:val="both"/>
            </w:pPr>
            <w:r>
              <w:rPr>
                <w:rFonts w:ascii="仿宋_GB2312" w:hAnsi="仿宋_GB2312" w:cs="仿宋_GB2312" w:eastAsia="仿宋_GB2312"/>
                <w:sz w:val="28"/>
                <w:b/>
              </w:rPr>
              <w:t>二、成果文件要求</w:t>
            </w:r>
          </w:p>
          <w:p>
            <w:pPr>
              <w:pStyle w:val="null3"/>
              <w:jc w:val="both"/>
            </w:pPr>
            <w:r>
              <w:rPr>
                <w:rFonts w:ascii="仿宋_GB2312" w:hAnsi="仿宋_GB2312" w:cs="仿宋_GB2312" w:eastAsia="仿宋_GB2312"/>
                <w:sz w:val="24"/>
              </w:rPr>
              <w:t>1、村庄地形图成果要求提供 cad 及 Shapfile 格式电子版本。</w:t>
            </w:r>
          </w:p>
          <w:p>
            <w:pPr>
              <w:pStyle w:val="null3"/>
              <w:jc w:val="both"/>
            </w:pPr>
            <w:r>
              <w:rPr>
                <w:rFonts w:ascii="仿宋_GB2312" w:hAnsi="仿宋_GB2312" w:cs="仿宋_GB2312" w:eastAsia="仿宋_GB2312"/>
                <w:sz w:val="24"/>
              </w:rPr>
              <w:t>2、村庄规划编制成果要求</w:t>
            </w:r>
            <w:r>
              <w:rPr>
                <w:rFonts w:ascii="仿宋_GB2312" w:hAnsi="仿宋_GB2312" w:cs="仿宋_GB2312" w:eastAsia="仿宋_GB2312"/>
                <w:sz w:val="24"/>
              </w:rPr>
              <w:t>符合国家现行行业标准</w:t>
            </w:r>
          </w:p>
          <w:p>
            <w:pPr>
              <w:pStyle w:val="null3"/>
              <w:jc w:val="both"/>
            </w:pPr>
            <w:r>
              <w:rPr>
                <w:rFonts w:ascii="仿宋_GB2312" w:hAnsi="仿宋_GB2312" w:cs="仿宋_GB2312" w:eastAsia="仿宋_GB2312"/>
                <w:sz w:val="24"/>
              </w:rPr>
              <w:t>注：纸质成果与电子成果应同时交付采购人，纸质成果按照采购人要求装订</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供应商应组建专业的服务团队，负责对项目实施过程的控制及管理，明确项目负责人及技术人员。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供应商应配置履行服务所需的设施设备，以便提高服务质量及效率。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项目完成并由采购人检验合格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法人证明或法人授权委 托书</w:t>
            </w:r>
          </w:p>
        </w:tc>
        <w:tc>
          <w:tcPr>
            <w:tcW w:type="dxa" w:w="3322"/>
          </w:tcPr>
          <w:p>
            <w:pPr>
              <w:pStyle w:val="null3"/>
            </w:pPr>
            <w:r>
              <w:rPr>
                <w:rFonts w:ascii="仿宋_GB2312" w:hAnsi="仿宋_GB2312" w:cs="仿宋_GB2312" w:eastAsia="仿宋_GB2312"/>
              </w:rPr>
              <w:t>法定代表人资格证明或法定代表人授权委托书原件、授权代表身份证复印件。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供应商资质情况</w:t>
            </w:r>
          </w:p>
        </w:tc>
        <w:tc>
          <w:tcPr>
            <w:tcW w:type="dxa" w:w="3322"/>
          </w:tcPr>
          <w:p>
            <w:pPr>
              <w:pStyle w:val="null3"/>
            </w:pPr>
            <w:r>
              <w:rPr>
                <w:rFonts w:ascii="仿宋_GB2312" w:hAnsi="仿宋_GB2312" w:cs="仿宋_GB2312" w:eastAsia="仿宋_GB2312"/>
              </w:rPr>
              <w:t>供应商须具备相关行政主管部门颁发的城乡规划编制乙级及以上资质或土地规划编制乙级及以上资质证书。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信用中国网 、中国执行 公开网和中 国政府采购 网查询情况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企业业绩.docx 报价表 响应文件封面 人员配置.docx 分项报价表.docx 供应商应提交的相关资格证明材料.docx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供应商名称和营业执照、资质证书一致</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符合磋商文件规定签署盖章要求</w:t>
            </w:r>
          </w:p>
        </w:tc>
        <w:tc>
          <w:tcPr>
            <w:tcW w:type="dxa" w:w="1661"/>
          </w:tcPr>
          <w:p>
            <w:pPr>
              <w:pStyle w:val="null3"/>
            </w:pPr>
            <w:r>
              <w:rPr>
                <w:rFonts w:ascii="仿宋_GB2312" w:hAnsi="仿宋_GB2312" w:cs="仿宋_GB2312" w:eastAsia="仿宋_GB2312"/>
              </w:rPr>
              <w:t>服务内容及服务邀请应答表 中小企业声明函 商务应答表 企业业绩.docx 报价表 响应文件封面 人员配置.docx 分项报价表.docx 供应商应提交的相关资格证明材料.docx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自磋商响应文件递交截止之日起90日历天</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合同签订之日12个月内完成</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企业业绩.docx 报价表 响应文件封面 人员配置.docx 分项报价表.docx 供应商应提交的相关资格证明材料.docx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项目的解读</w:t>
            </w:r>
          </w:p>
        </w:tc>
        <w:tc>
          <w:tcPr>
            <w:tcW w:type="dxa" w:w="2492"/>
          </w:tcPr>
          <w:p>
            <w:pPr>
              <w:pStyle w:val="null3"/>
            </w:pPr>
            <w:r>
              <w:rPr>
                <w:rFonts w:ascii="仿宋_GB2312" w:hAnsi="仿宋_GB2312" w:cs="仿宋_GB2312" w:eastAsia="仿宋_GB2312"/>
              </w:rPr>
              <w:t>根据各投标人对项目的理解及分析进行评审： 对项目理解透彻、规划设计思路及项目定位清晰合理、切题准确、完整充分具有前瞻性，得 (5-10]分；对项目理解基本清楚、建设思路及项目定位基本合理得(3-5]分；对项目理解一般、建设思路及项目定位一般，无重大偏差，得 (0-3]分； 其他情况或不提供的不得分。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根据投标人提供项目实施方案进行评审：方案包含内容全面，针对性强，紧密联系项目的实际、可行性强，(10-15]分； 方案包含内容全面，针对性较强，基本可行，得 (5-10]分；方案包含内容不够全面，基本可行，得( 0-5]分；其他情况或不提供的不得分。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质量控制及保证措施</w:t>
            </w:r>
          </w:p>
        </w:tc>
        <w:tc>
          <w:tcPr>
            <w:tcW w:type="dxa" w:w="2492"/>
          </w:tcPr>
          <w:p>
            <w:pPr>
              <w:pStyle w:val="null3"/>
            </w:pPr>
            <w:r>
              <w:rPr>
                <w:rFonts w:ascii="仿宋_GB2312" w:hAnsi="仿宋_GB2312" w:cs="仿宋_GB2312" w:eastAsia="仿宋_GB2312"/>
              </w:rPr>
              <w:t>①质量控制及质量保证措施详细、完善、可行，质量目标明确计：(10-15]分； ②质量控制及质量保证措施较详细、较完善、较可行，质量目标较明确计：(5-10]分； ③质量控制及质量保证措施不详细、不完善、不可行，质量目标不明确计：(0-5]分； ④未提供质量控制及保证措施不得分。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进度计划及保证措施</w:t>
            </w:r>
          </w:p>
        </w:tc>
        <w:tc>
          <w:tcPr>
            <w:tcW w:type="dxa" w:w="2492"/>
          </w:tcPr>
          <w:p>
            <w:pPr>
              <w:pStyle w:val="null3"/>
            </w:pPr>
            <w:r>
              <w:rPr>
                <w:rFonts w:ascii="仿宋_GB2312" w:hAnsi="仿宋_GB2312" w:cs="仿宋_GB2312" w:eastAsia="仿宋_GB2312"/>
              </w:rPr>
              <w:t>①规划设计进度计划详细、科学、合理、可行，进度保证措施完善计：(10-15]分； ②规划设计进度计划较详细、较科学、较合理、较可行，进度保证措施较完善计：(5-10]分； ③规划设计进度计划不详细、不科学、不合理、不可行，进度保证措施不完善计：(0-5]分； ④未提供进度计划及进度保证措施不得分。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针对本项目有严格的保密与安全措施； ①保密与安全措施完善，针对性强、成熟具体的得(3-5]分； ②保密与安全措施较为完善、针对性较好、较为成熟具体的(1-3]分； ③保密与安全措施方案简单、可行性低、不够具体的得(0-1]分； ④未提供保密与安全措施或保密与安全措施完全脱离实际的不得分。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提供2022年9月1日至今类似项目业绩，提供1个业绩，得2分，满分为10分。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1.主要项目负责人具有相关专业（土地规划或城乡规划等相关专业）高级职称的得 2 分，中级职称得 1 分，最高得 2 分。 2.拟投入本项目的其他人员（除项目负责人外）中具有土地规划或城乡规划等相关专业中级及以上工程师职称的，每提供1个计2分，最多得 8 分。 注:以上人员提供职称证复印件并加盖公章，否则不得分。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主要内容为本项目的质量保障措施、后期技术支持、管理改进及配合等相关服务做出承诺。①服务承诺内容详细、清晰、承诺指标明确计：(3-5]分； ②服务承诺内容较详细、较清晰、承诺指标较明确计：(1-3]分； ③服务承诺内容不详细、不清晰、承诺指标不明确计：(0-1]分； ④未提供服务承诺不得分。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①合理化建议贴合实际，有利于项目实施计：(3-5]分； ②合理化建议较贴合实际，较利于项目实施计：(1-3]分； ③合理化建议不贴合实际计：(0-1]分； ④未提供合理化建议不得分。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1.满足招标文件实质性要求且最终报价最低的供应商的价格为磋商基准价，其价格分为满分10分。 2.磋商报价得分=（磋商基准价/最终磋商报价）×10×100%的公式计算得分。 3.磋商报价不完整的，不进入评标标准价的计算，本项得0分。 4.经评评标小组一致认定，超过预算金额,其响应将被拒绝。</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