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0582D">
      <w:pPr>
        <w:pStyle w:val="4"/>
        <w:spacing w:before="0" w:after="0" w:line="360" w:lineRule="auto"/>
        <w:jc w:val="center"/>
        <w:rPr>
          <w:rFonts w:hint="eastAsia" w:ascii="仿宋" w:hAnsi="仿宋" w:cs="仿宋_GB2312"/>
          <w:b w:val="0"/>
          <w:bCs w:val="0"/>
          <w:sz w:val="28"/>
          <w:szCs w:val="36"/>
          <w:highlight w:val="none"/>
        </w:rPr>
      </w:pPr>
      <w:r>
        <w:rPr>
          <w:rFonts w:ascii="仿宋" w:hAnsi="仿宋" w:cs="仿宋_GB2312"/>
          <w:sz w:val="28"/>
          <w:szCs w:val="36"/>
          <w:highlight w:val="none"/>
        </w:rPr>
        <w:t>分项报价表</w:t>
      </w:r>
    </w:p>
    <w:p w14:paraId="2C33A578">
      <w:pPr>
        <w:pStyle w:val="5"/>
        <w:rPr>
          <w:rFonts w:hint="eastAsia" w:ascii="仿宋" w:hAnsi="仿宋" w:eastAsia="仿宋"/>
          <w:b w:val="0"/>
          <w:bCs w:val="0"/>
          <w:sz w:val="24"/>
          <w:u w:val="single"/>
        </w:rPr>
      </w:pPr>
      <w:r>
        <w:rPr>
          <w:rFonts w:ascii="仿宋" w:hAnsi="仿宋" w:eastAsia="仿宋"/>
          <w:b w:val="0"/>
          <w:bCs w:val="0"/>
          <w:sz w:val="24"/>
        </w:rPr>
        <w:t>项目编号：</w:t>
      </w:r>
    </w:p>
    <w:p w14:paraId="545FAE74">
      <w:pPr>
        <w:rPr>
          <w:rFonts w:hint="eastAsia" w:ascii="仿宋" w:hAnsi="仿宋"/>
        </w:rPr>
      </w:pPr>
      <w:r>
        <w:rPr>
          <w:rFonts w:ascii="仿宋" w:hAnsi="仿宋"/>
        </w:rPr>
        <w:t>项目名称：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1420"/>
        <w:gridCol w:w="810"/>
        <w:gridCol w:w="1328"/>
        <w:gridCol w:w="844"/>
        <w:gridCol w:w="844"/>
        <w:gridCol w:w="1093"/>
        <w:gridCol w:w="967"/>
        <w:gridCol w:w="602"/>
      </w:tblGrid>
      <w:tr w14:paraId="06522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0" w:type="pct"/>
            <w:vAlign w:val="center"/>
          </w:tcPr>
          <w:p w14:paraId="75B48B6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序号</w:t>
            </w:r>
          </w:p>
        </w:tc>
        <w:tc>
          <w:tcPr>
            <w:tcW w:w="833" w:type="pct"/>
            <w:vAlign w:val="center"/>
          </w:tcPr>
          <w:p w14:paraId="2A53F00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产品</w:t>
            </w:r>
          </w:p>
          <w:p w14:paraId="712B92F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名称</w:t>
            </w:r>
          </w:p>
        </w:tc>
        <w:tc>
          <w:tcPr>
            <w:tcW w:w="475" w:type="pct"/>
            <w:vAlign w:val="center"/>
          </w:tcPr>
          <w:p w14:paraId="2FB1A21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规格</w:t>
            </w:r>
          </w:p>
          <w:p w14:paraId="4CA4F59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型号</w:t>
            </w:r>
          </w:p>
        </w:tc>
        <w:tc>
          <w:tcPr>
            <w:tcW w:w="779" w:type="pct"/>
            <w:vAlign w:val="center"/>
          </w:tcPr>
          <w:p w14:paraId="6F6EB7D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制造</w:t>
            </w:r>
          </w:p>
          <w:p w14:paraId="0590657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厂家</w:t>
            </w:r>
          </w:p>
        </w:tc>
        <w:tc>
          <w:tcPr>
            <w:tcW w:w="495" w:type="pct"/>
            <w:vAlign w:val="center"/>
          </w:tcPr>
          <w:p w14:paraId="1F37F7C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</w:rPr>
              <w:t>单位</w:t>
            </w:r>
          </w:p>
        </w:tc>
        <w:tc>
          <w:tcPr>
            <w:tcW w:w="495" w:type="pct"/>
            <w:vAlign w:val="center"/>
          </w:tcPr>
          <w:p w14:paraId="0F923BE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数量</w:t>
            </w:r>
          </w:p>
        </w:tc>
        <w:tc>
          <w:tcPr>
            <w:tcW w:w="637" w:type="pct"/>
            <w:vAlign w:val="center"/>
          </w:tcPr>
          <w:p w14:paraId="781128C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单价</w:t>
            </w:r>
          </w:p>
        </w:tc>
        <w:tc>
          <w:tcPr>
            <w:tcW w:w="567" w:type="pct"/>
            <w:vAlign w:val="center"/>
          </w:tcPr>
          <w:p w14:paraId="4555E03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小计（元）</w:t>
            </w:r>
          </w:p>
        </w:tc>
        <w:tc>
          <w:tcPr>
            <w:tcW w:w="353" w:type="pct"/>
            <w:vAlign w:val="center"/>
          </w:tcPr>
          <w:p w14:paraId="0A875EF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备注</w:t>
            </w:r>
          </w:p>
        </w:tc>
      </w:tr>
      <w:tr w14:paraId="3454A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0" w:type="pct"/>
            <w:vAlign w:val="center"/>
          </w:tcPr>
          <w:p w14:paraId="1A04570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</w:rPr>
              <w:t>1</w:t>
            </w:r>
          </w:p>
        </w:tc>
        <w:tc>
          <w:tcPr>
            <w:tcW w:w="833" w:type="pct"/>
            <w:vAlign w:val="center"/>
          </w:tcPr>
          <w:p w14:paraId="338C9F6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75" w:type="pct"/>
            <w:vAlign w:val="center"/>
          </w:tcPr>
          <w:p w14:paraId="34CB50A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79" w:type="pct"/>
            <w:vAlign w:val="center"/>
          </w:tcPr>
          <w:p w14:paraId="76E1557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5" w:type="pct"/>
            <w:vAlign w:val="center"/>
          </w:tcPr>
          <w:p w14:paraId="6E911C1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5" w:type="pct"/>
            <w:vAlign w:val="center"/>
          </w:tcPr>
          <w:p w14:paraId="3D99287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7" w:type="pct"/>
            <w:vAlign w:val="center"/>
          </w:tcPr>
          <w:p w14:paraId="37B28D3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67" w:type="pct"/>
            <w:vAlign w:val="center"/>
          </w:tcPr>
          <w:p w14:paraId="57E12A7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3" w:type="pct"/>
            <w:vAlign w:val="center"/>
          </w:tcPr>
          <w:p w14:paraId="7427C24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30DCC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0" w:type="pct"/>
            <w:vAlign w:val="center"/>
          </w:tcPr>
          <w:p w14:paraId="2EC2FCE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</w:rPr>
              <w:t>2</w:t>
            </w:r>
          </w:p>
        </w:tc>
        <w:tc>
          <w:tcPr>
            <w:tcW w:w="833" w:type="pct"/>
            <w:vAlign w:val="center"/>
          </w:tcPr>
          <w:p w14:paraId="096C76D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75" w:type="pct"/>
            <w:vAlign w:val="center"/>
          </w:tcPr>
          <w:p w14:paraId="21170E6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79" w:type="pct"/>
            <w:vAlign w:val="center"/>
          </w:tcPr>
          <w:p w14:paraId="0C90ADD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5" w:type="pct"/>
            <w:vAlign w:val="center"/>
          </w:tcPr>
          <w:p w14:paraId="0A1D468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95" w:type="pct"/>
            <w:vAlign w:val="center"/>
          </w:tcPr>
          <w:p w14:paraId="256A90F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7" w:type="pct"/>
            <w:vAlign w:val="center"/>
          </w:tcPr>
          <w:p w14:paraId="0448F90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67" w:type="pct"/>
            <w:vAlign w:val="center"/>
          </w:tcPr>
          <w:p w14:paraId="7E854C9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3" w:type="pct"/>
            <w:vAlign w:val="center"/>
          </w:tcPr>
          <w:p w14:paraId="5AD823A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6296A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0" w:type="pct"/>
            <w:vAlign w:val="center"/>
          </w:tcPr>
          <w:p w14:paraId="0FCEB16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33" w:type="pct"/>
            <w:vAlign w:val="center"/>
          </w:tcPr>
          <w:p w14:paraId="29269B8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75" w:type="pct"/>
            <w:vAlign w:val="center"/>
          </w:tcPr>
          <w:p w14:paraId="13F8E88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79" w:type="pct"/>
            <w:vAlign w:val="center"/>
          </w:tcPr>
          <w:p w14:paraId="7C1FF18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5" w:type="pct"/>
            <w:vAlign w:val="center"/>
          </w:tcPr>
          <w:p w14:paraId="6CE8D93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95" w:type="pct"/>
            <w:vAlign w:val="center"/>
          </w:tcPr>
          <w:p w14:paraId="68DEB69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7" w:type="pct"/>
            <w:vAlign w:val="center"/>
          </w:tcPr>
          <w:p w14:paraId="7BFA8F7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67" w:type="pct"/>
            <w:vAlign w:val="center"/>
          </w:tcPr>
          <w:p w14:paraId="5508FBC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3" w:type="pct"/>
            <w:vAlign w:val="center"/>
          </w:tcPr>
          <w:p w14:paraId="0F2E183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194CE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0" w:type="pct"/>
            <w:vAlign w:val="center"/>
          </w:tcPr>
          <w:p w14:paraId="71ED3D9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bookmarkStart w:id="0" w:name="_GoBack"/>
          </w:p>
        </w:tc>
        <w:tc>
          <w:tcPr>
            <w:tcW w:w="833" w:type="pct"/>
            <w:vAlign w:val="center"/>
          </w:tcPr>
          <w:p w14:paraId="230222C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75" w:type="pct"/>
            <w:vAlign w:val="center"/>
          </w:tcPr>
          <w:p w14:paraId="0897B77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79" w:type="pct"/>
            <w:vAlign w:val="center"/>
          </w:tcPr>
          <w:p w14:paraId="48C84C7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5" w:type="pct"/>
            <w:vAlign w:val="center"/>
          </w:tcPr>
          <w:p w14:paraId="5415377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95" w:type="pct"/>
            <w:vAlign w:val="center"/>
          </w:tcPr>
          <w:p w14:paraId="42B0455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7" w:type="pct"/>
            <w:vAlign w:val="center"/>
          </w:tcPr>
          <w:p w14:paraId="6DD8DB4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67" w:type="pct"/>
            <w:vAlign w:val="center"/>
          </w:tcPr>
          <w:p w14:paraId="1445E25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3" w:type="pct"/>
            <w:vAlign w:val="center"/>
          </w:tcPr>
          <w:p w14:paraId="62469EA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26D85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0" w:type="pct"/>
            <w:vAlign w:val="center"/>
          </w:tcPr>
          <w:p w14:paraId="795BF25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33" w:type="pct"/>
            <w:vAlign w:val="center"/>
          </w:tcPr>
          <w:p w14:paraId="0A6685A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75" w:type="pct"/>
            <w:vAlign w:val="center"/>
          </w:tcPr>
          <w:p w14:paraId="3C3E65D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79" w:type="pct"/>
            <w:vAlign w:val="center"/>
          </w:tcPr>
          <w:p w14:paraId="2932B4D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5" w:type="pct"/>
            <w:vAlign w:val="center"/>
          </w:tcPr>
          <w:p w14:paraId="2D6E5A2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95" w:type="pct"/>
            <w:vAlign w:val="center"/>
          </w:tcPr>
          <w:p w14:paraId="50214B2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7" w:type="pct"/>
            <w:vAlign w:val="center"/>
          </w:tcPr>
          <w:p w14:paraId="02CC088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67" w:type="pct"/>
            <w:vAlign w:val="center"/>
          </w:tcPr>
          <w:p w14:paraId="01F1F04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3" w:type="pct"/>
            <w:vAlign w:val="center"/>
          </w:tcPr>
          <w:p w14:paraId="4D05646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344E0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0" w:type="pct"/>
            <w:vAlign w:val="center"/>
          </w:tcPr>
          <w:p w14:paraId="5939A77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33" w:type="pct"/>
            <w:vAlign w:val="center"/>
          </w:tcPr>
          <w:p w14:paraId="6617EAE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75" w:type="pct"/>
            <w:vAlign w:val="center"/>
          </w:tcPr>
          <w:p w14:paraId="5734EE5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79" w:type="pct"/>
            <w:vAlign w:val="center"/>
          </w:tcPr>
          <w:p w14:paraId="7F3644E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5" w:type="pct"/>
            <w:vAlign w:val="center"/>
          </w:tcPr>
          <w:p w14:paraId="321815E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95" w:type="pct"/>
            <w:vAlign w:val="center"/>
          </w:tcPr>
          <w:p w14:paraId="1279962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7" w:type="pct"/>
            <w:vAlign w:val="center"/>
          </w:tcPr>
          <w:p w14:paraId="61994AC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67" w:type="pct"/>
            <w:vAlign w:val="center"/>
          </w:tcPr>
          <w:p w14:paraId="0370500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3" w:type="pct"/>
            <w:vAlign w:val="center"/>
          </w:tcPr>
          <w:p w14:paraId="555B5C6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7333C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0" w:type="pct"/>
            <w:vAlign w:val="center"/>
          </w:tcPr>
          <w:p w14:paraId="37A65EC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33" w:type="pct"/>
            <w:vAlign w:val="center"/>
          </w:tcPr>
          <w:p w14:paraId="7ED2FF9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75" w:type="pct"/>
            <w:vAlign w:val="center"/>
          </w:tcPr>
          <w:p w14:paraId="0074FE3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79" w:type="pct"/>
            <w:vAlign w:val="center"/>
          </w:tcPr>
          <w:p w14:paraId="10BBB0C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5" w:type="pct"/>
            <w:vAlign w:val="center"/>
          </w:tcPr>
          <w:p w14:paraId="3A5691D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95" w:type="pct"/>
            <w:vAlign w:val="center"/>
          </w:tcPr>
          <w:p w14:paraId="4BDE653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7" w:type="pct"/>
            <w:vAlign w:val="center"/>
          </w:tcPr>
          <w:p w14:paraId="1D0091F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67" w:type="pct"/>
            <w:vAlign w:val="center"/>
          </w:tcPr>
          <w:p w14:paraId="1A3569F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3" w:type="pct"/>
            <w:vAlign w:val="center"/>
          </w:tcPr>
          <w:p w14:paraId="06ECDDB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5EDC6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0" w:type="pct"/>
            <w:vAlign w:val="center"/>
          </w:tcPr>
          <w:p w14:paraId="6494478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33" w:type="pct"/>
            <w:vAlign w:val="center"/>
          </w:tcPr>
          <w:p w14:paraId="5790E53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75" w:type="pct"/>
            <w:vAlign w:val="center"/>
          </w:tcPr>
          <w:p w14:paraId="1941615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79" w:type="pct"/>
            <w:vAlign w:val="center"/>
          </w:tcPr>
          <w:p w14:paraId="0649A3B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5" w:type="pct"/>
            <w:vAlign w:val="center"/>
          </w:tcPr>
          <w:p w14:paraId="04B6025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95" w:type="pct"/>
            <w:vAlign w:val="center"/>
          </w:tcPr>
          <w:p w14:paraId="49B86F3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7" w:type="pct"/>
            <w:vAlign w:val="center"/>
          </w:tcPr>
          <w:p w14:paraId="34D3376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67" w:type="pct"/>
            <w:vAlign w:val="center"/>
          </w:tcPr>
          <w:p w14:paraId="5C68C42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3" w:type="pct"/>
            <w:vAlign w:val="center"/>
          </w:tcPr>
          <w:p w14:paraId="47EF20D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5FBA1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0" w:type="pct"/>
            <w:vAlign w:val="center"/>
          </w:tcPr>
          <w:p w14:paraId="0A4E1C0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33" w:type="pct"/>
            <w:vAlign w:val="center"/>
          </w:tcPr>
          <w:p w14:paraId="2989725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75" w:type="pct"/>
            <w:vAlign w:val="center"/>
          </w:tcPr>
          <w:p w14:paraId="3BB4881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79" w:type="pct"/>
            <w:vAlign w:val="center"/>
          </w:tcPr>
          <w:p w14:paraId="7925449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5" w:type="pct"/>
            <w:vAlign w:val="center"/>
          </w:tcPr>
          <w:p w14:paraId="1DB482C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95" w:type="pct"/>
            <w:vAlign w:val="center"/>
          </w:tcPr>
          <w:p w14:paraId="41D14ED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7" w:type="pct"/>
            <w:vAlign w:val="center"/>
          </w:tcPr>
          <w:p w14:paraId="50FEDC3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67" w:type="pct"/>
            <w:vAlign w:val="center"/>
          </w:tcPr>
          <w:p w14:paraId="70E81D7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3" w:type="pct"/>
            <w:vAlign w:val="center"/>
          </w:tcPr>
          <w:p w14:paraId="1ABEE8A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5705C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0" w:type="pct"/>
            <w:vAlign w:val="center"/>
          </w:tcPr>
          <w:p w14:paraId="5272948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33" w:type="pct"/>
            <w:vAlign w:val="center"/>
          </w:tcPr>
          <w:p w14:paraId="39C6F6E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75" w:type="pct"/>
            <w:vAlign w:val="center"/>
          </w:tcPr>
          <w:p w14:paraId="18A9703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79" w:type="pct"/>
            <w:vAlign w:val="center"/>
          </w:tcPr>
          <w:p w14:paraId="135E9A6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5" w:type="pct"/>
            <w:vAlign w:val="center"/>
          </w:tcPr>
          <w:p w14:paraId="3918900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95" w:type="pct"/>
            <w:vAlign w:val="center"/>
          </w:tcPr>
          <w:p w14:paraId="0AAFB14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7" w:type="pct"/>
            <w:vAlign w:val="center"/>
          </w:tcPr>
          <w:p w14:paraId="5799DDA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67" w:type="pct"/>
            <w:vAlign w:val="center"/>
          </w:tcPr>
          <w:p w14:paraId="144B205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3" w:type="pct"/>
            <w:vAlign w:val="center"/>
          </w:tcPr>
          <w:p w14:paraId="306C277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2B60B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0" w:type="pct"/>
            <w:vAlign w:val="center"/>
          </w:tcPr>
          <w:p w14:paraId="6022C9E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33" w:type="pct"/>
            <w:vAlign w:val="center"/>
          </w:tcPr>
          <w:p w14:paraId="344A135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75" w:type="pct"/>
            <w:vAlign w:val="center"/>
          </w:tcPr>
          <w:p w14:paraId="3290DC5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79" w:type="pct"/>
            <w:vAlign w:val="center"/>
          </w:tcPr>
          <w:p w14:paraId="6EBD156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5" w:type="pct"/>
            <w:vAlign w:val="center"/>
          </w:tcPr>
          <w:p w14:paraId="3C83107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95" w:type="pct"/>
            <w:vAlign w:val="center"/>
          </w:tcPr>
          <w:p w14:paraId="5D69A78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7" w:type="pct"/>
            <w:vAlign w:val="center"/>
          </w:tcPr>
          <w:p w14:paraId="22A7B9C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67" w:type="pct"/>
            <w:vAlign w:val="center"/>
          </w:tcPr>
          <w:p w14:paraId="01537D2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3" w:type="pct"/>
            <w:vAlign w:val="center"/>
          </w:tcPr>
          <w:p w14:paraId="10BD791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38695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0" w:type="pct"/>
            <w:vAlign w:val="center"/>
          </w:tcPr>
          <w:p w14:paraId="40BD7BE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33" w:type="pct"/>
            <w:vAlign w:val="center"/>
          </w:tcPr>
          <w:p w14:paraId="7312F06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75" w:type="pct"/>
            <w:vAlign w:val="center"/>
          </w:tcPr>
          <w:p w14:paraId="1DB1156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79" w:type="pct"/>
            <w:vAlign w:val="center"/>
          </w:tcPr>
          <w:p w14:paraId="1EB6920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5" w:type="pct"/>
            <w:vAlign w:val="center"/>
          </w:tcPr>
          <w:p w14:paraId="16EFB5B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95" w:type="pct"/>
            <w:vAlign w:val="center"/>
          </w:tcPr>
          <w:p w14:paraId="35B6E01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7" w:type="pct"/>
            <w:vAlign w:val="center"/>
          </w:tcPr>
          <w:p w14:paraId="4BEBB21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67" w:type="pct"/>
            <w:vAlign w:val="center"/>
          </w:tcPr>
          <w:p w14:paraId="403896D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3" w:type="pct"/>
            <w:vAlign w:val="center"/>
          </w:tcPr>
          <w:p w14:paraId="1DB2124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bookmarkEnd w:id="0"/>
      <w:tr w14:paraId="06B20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078" w:type="pct"/>
            <w:gridSpan w:val="7"/>
            <w:vAlign w:val="center"/>
          </w:tcPr>
          <w:p w14:paraId="22DC118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</w:rPr>
              <w:t>合计</w:t>
            </w:r>
          </w:p>
        </w:tc>
        <w:tc>
          <w:tcPr>
            <w:tcW w:w="567" w:type="pct"/>
            <w:vAlign w:val="center"/>
          </w:tcPr>
          <w:p w14:paraId="6F9A3AF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3" w:type="pct"/>
            <w:vAlign w:val="center"/>
          </w:tcPr>
          <w:p w14:paraId="0AD41EE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</w:tbl>
    <w:p w14:paraId="2CC3CAFC">
      <w:pPr>
        <w:rPr>
          <w:rFonts w:hint="eastAsia" w:ascii="仿宋" w:hAnsi="仿宋"/>
          <w:szCs w:val="22"/>
        </w:rPr>
      </w:pPr>
      <w:r>
        <w:rPr>
          <w:rFonts w:hint="eastAsia" w:ascii="仿宋" w:hAnsi="仿宋"/>
          <w:szCs w:val="22"/>
        </w:rPr>
        <w:t>1.如果按单价计算的结果与总价不一致，以单价为准修正总价。</w:t>
      </w:r>
    </w:p>
    <w:p w14:paraId="6E4F000F">
      <w:pPr>
        <w:rPr>
          <w:rFonts w:hint="eastAsia" w:ascii="仿宋" w:hAnsi="仿宋"/>
          <w:szCs w:val="22"/>
        </w:rPr>
      </w:pPr>
      <w:r>
        <w:rPr>
          <w:rFonts w:hint="eastAsia" w:ascii="仿宋" w:hAnsi="仿宋"/>
          <w:szCs w:val="22"/>
        </w:rPr>
        <w:t>2.上表中合计金额应与</w:t>
      </w:r>
      <w:r>
        <w:rPr>
          <w:rFonts w:hint="eastAsia" w:ascii="仿宋" w:hAnsi="仿宋"/>
          <w:szCs w:val="22"/>
          <w:lang w:val="en-US" w:eastAsia="zh-CN"/>
        </w:rPr>
        <w:t>报价表</w:t>
      </w:r>
      <w:r>
        <w:rPr>
          <w:rFonts w:hint="eastAsia" w:ascii="仿宋" w:hAnsi="仿宋"/>
          <w:szCs w:val="22"/>
        </w:rPr>
        <w:t>中的磋商总报价保持一致，且不得超出采购预算及最高限价。</w:t>
      </w:r>
    </w:p>
    <w:p w14:paraId="62FC627E">
      <w:pPr>
        <w:pStyle w:val="2"/>
        <w:rPr>
          <w:rFonts w:hint="eastAsia" w:ascii="仿宋" w:hAnsi="仿宋"/>
          <w:szCs w:val="22"/>
        </w:rPr>
      </w:pPr>
    </w:p>
    <w:p w14:paraId="35962AD6">
      <w:pPr>
        <w:pStyle w:val="2"/>
        <w:rPr>
          <w:rFonts w:hint="eastAsia" w:ascii="仿宋" w:hAnsi="仿宋"/>
          <w:szCs w:val="22"/>
        </w:rPr>
      </w:pPr>
    </w:p>
    <w:p w14:paraId="143E8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供应商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cs="仿宋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{供应商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名称</w:t>
      </w:r>
      <w:r>
        <w:rPr>
          <w:rFonts w:hint="eastAsia" w:ascii="仿宋" w:hAnsi="仿宋" w:eastAsia="仿宋" w:cs="仿宋"/>
          <w:sz w:val="24"/>
          <w:szCs w:val="24"/>
          <w:u w:val="single"/>
        </w:rPr>
        <w:t>}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cs="仿宋"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签章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）</w:t>
      </w:r>
    </w:p>
    <w:p w14:paraId="232F8FF3">
      <w:pPr>
        <w:keepLines w:val="0"/>
        <w:pageBreakBefore w:val="0"/>
        <w:tabs>
          <w:tab w:val="right" w:pos="8931"/>
        </w:tabs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法定代表人</w:t>
      </w:r>
      <w:r>
        <w:rPr>
          <w:rFonts w:hint="eastAsia" w:ascii="仿宋" w:hAnsi="仿宋" w:cs="仿宋"/>
          <w:color w:val="000000"/>
          <w:sz w:val="24"/>
          <w:szCs w:val="24"/>
          <w:lang w:val="en-US" w:eastAsia="zh-CN"/>
        </w:rPr>
        <w:t>或委托代理人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（签字或盖章）</w:t>
      </w:r>
    </w:p>
    <w:p w14:paraId="7D52D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840" w:firstLineChars="1600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日    期：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000000"/>
          <w:sz w:val="24"/>
          <w:szCs w:val="24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  <w:u w:val="none"/>
          <w:lang w:val="en-US" w:eastAsia="zh-CN"/>
        </w:rPr>
        <w:t>日</w:t>
      </w:r>
    </w:p>
    <w:p w14:paraId="29E69F07">
      <w:pPr>
        <w:ind w:firstLine="1920" w:firstLineChars="800"/>
        <w:rPr>
          <w:rFonts w:hint="eastAsia" w:ascii="仿宋" w:hAnsi="仿宋"/>
          <w:kern w:val="0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lMDQwN2NiMDE0ZGM3OGQyMjI2MGI5NGMzYzk3YjEifQ=="/>
  </w:docVars>
  <w:rsids>
    <w:rsidRoot w:val="5273359B"/>
    <w:rsid w:val="000D74C6"/>
    <w:rsid w:val="0010024D"/>
    <w:rsid w:val="00142BA5"/>
    <w:rsid w:val="001A47A2"/>
    <w:rsid w:val="00201234"/>
    <w:rsid w:val="002B39A0"/>
    <w:rsid w:val="0034024D"/>
    <w:rsid w:val="004E1ABC"/>
    <w:rsid w:val="00647F7E"/>
    <w:rsid w:val="006A1270"/>
    <w:rsid w:val="008C05EB"/>
    <w:rsid w:val="008D7B64"/>
    <w:rsid w:val="008E4517"/>
    <w:rsid w:val="009372C4"/>
    <w:rsid w:val="00940800"/>
    <w:rsid w:val="00994C21"/>
    <w:rsid w:val="00A30FF2"/>
    <w:rsid w:val="00B0631C"/>
    <w:rsid w:val="00B36E30"/>
    <w:rsid w:val="00B418C2"/>
    <w:rsid w:val="00B451DE"/>
    <w:rsid w:val="00B84899"/>
    <w:rsid w:val="00C95B24"/>
    <w:rsid w:val="00D80098"/>
    <w:rsid w:val="00E209F7"/>
    <w:rsid w:val="00E23902"/>
    <w:rsid w:val="00F23769"/>
    <w:rsid w:val="08202AE5"/>
    <w:rsid w:val="12E50BB3"/>
    <w:rsid w:val="16184DFC"/>
    <w:rsid w:val="190233A1"/>
    <w:rsid w:val="24845A71"/>
    <w:rsid w:val="268D5392"/>
    <w:rsid w:val="2D5C5ABE"/>
    <w:rsid w:val="33DB540E"/>
    <w:rsid w:val="34324739"/>
    <w:rsid w:val="37F20E55"/>
    <w:rsid w:val="3934169D"/>
    <w:rsid w:val="3D2D1B36"/>
    <w:rsid w:val="3F19380F"/>
    <w:rsid w:val="40632F94"/>
    <w:rsid w:val="46EA38FD"/>
    <w:rsid w:val="48531B40"/>
    <w:rsid w:val="5273359B"/>
    <w:rsid w:val="596E669C"/>
    <w:rsid w:val="5C560166"/>
    <w:rsid w:val="62E47B0C"/>
    <w:rsid w:val="639A466F"/>
    <w:rsid w:val="66FE4F15"/>
    <w:rsid w:val="674E7C4A"/>
    <w:rsid w:val="683230C8"/>
    <w:rsid w:val="6C4572F9"/>
    <w:rsid w:val="739C1D3D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jc w:val="both"/>
      <w:outlineLvl w:val="1"/>
    </w:pPr>
    <w:rPr>
      <w:rFonts w:ascii="Arial" w:hAnsi="Arial" w:eastAsia="黑体"/>
      <w:b/>
      <w:bCs/>
      <w:sz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5">
    <w:name w:val="Body Text"/>
    <w:basedOn w:val="1"/>
    <w:next w:val="1"/>
    <w:qFormat/>
    <w:uiPriority w:val="0"/>
    <w:pPr>
      <w:jc w:val="both"/>
    </w:pPr>
    <w:rPr>
      <w:rFonts w:ascii="Times New Roman" w:hAnsi="Times New Roman" w:eastAsia="宋体"/>
      <w:b/>
      <w:bCs/>
      <w:sz w:val="28"/>
    </w:rPr>
  </w:style>
  <w:style w:type="paragraph" w:styleId="6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rFonts w:ascii="Calibri" w:hAnsi="Calibri" w:eastAsia="仿宋" w:cs="Times New Roman"/>
      <w:kern w:val="2"/>
      <w:sz w:val="18"/>
      <w:szCs w:val="18"/>
    </w:rPr>
  </w:style>
  <w:style w:type="character" w:customStyle="1" w:styleId="10">
    <w:name w:val="页脚 字符"/>
    <w:basedOn w:val="8"/>
    <w:link w:val="2"/>
    <w:qFormat/>
    <w:uiPriority w:val="0"/>
    <w:rPr>
      <w:rFonts w:ascii="Calibri" w:hAnsi="Calibri" w:eastAsia="仿宋" w:cs="Times New Roman"/>
      <w:kern w:val="2"/>
      <w:sz w:val="18"/>
      <w:szCs w:val="18"/>
    </w:rPr>
  </w:style>
  <w:style w:type="character" w:customStyle="1" w:styleId="11">
    <w:name w:val="标题 3 字符"/>
    <w:basedOn w:val="8"/>
    <w:link w:val="4"/>
    <w:semiHidden/>
    <w:qFormat/>
    <w:uiPriority w:val="0"/>
    <w:rPr>
      <w:rFonts w:ascii="Calibri" w:hAnsi="Calibri" w:eastAsia="仿宋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168</Characters>
  <Lines>4</Lines>
  <Paragraphs>1</Paragraphs>
  <TotalTime>0</TotalTime>
  <ScaleCrop>false</ScaleCrop>
  <LinksUpToDate>false</LinksUpToDate>
  <CharactersWithSpaces>215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2024-08-12T09:38:00Z</dcterms:created>
  <dc:creator>陕西中技招标有限公司</dc:creator>
  <cp:lastModifiedBy>张雪英</cp:lastModifiedBy>
  <dcterms:modified xsi:type="dcterms:W3CDTF">2025-10-16T05:57:46Z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6175DFC8E56C411991B0CD545B72D117_13</vt:lpwstr>
  </property>
  <property fmtid="{D5CDD505-2E9C-101B-9397-08002B2CF9AE}" pid="4" name="KSOTemplateDocerSaveRecord">
    <vt:lpwstr>eyJoZGlkIjoiZmE5N2ViMDVkZDk1M2Y2MmU4ZGRhYmFhODhmOTdiM2IiLCJ1c2VySWQiOiIyMDk5ODc5NDMifQ==</vt:lpwstr>
  </property>
</Properties>
</file>