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版本号：DLZCCS2026-120260205002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新建煎药室及个体化加工室采购项目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DLZCCS2026-1</w:t>
      </w:r>
      <w:r>
        <w:br/>
      </w:r>
      <w:r>
        <w:br/>
      </w:r>
      <w:r>
        <w:br/>
      </w:r>
    </w:p>
    <w:p>
      <w:pPr>
        <w:pStyle w:val="null3"/>
        <w:jc w:val="center"/>
        <w:outlineLvl w:val="2"/>
      </w:pPr>
      <w:r>
        <w:rPr>
          <w:rFonts w:ascii="仿宋_GB2312" w:hAnsi="仿宋_GB2312" w:cs="仿宋_GB2312" w:eastAsia="仿宋_GB2312"/>
          <w:sz w:val="28"/>
          <w:b/>
        </w:rPr>
        <w:t>大荔县中医医院</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大荔县中医医院</w:t>
      </w:r>
      <w:r>
        <w:rPr>
          <w:rFonts w:ascii="仿宋_GB2312" w:hAnsi="仿宋_GB2312" w:cs="仿宋_GB2312" w:eastAsia="仿宋_GB2312"/>
        </w:rPr>
        <w:t>委托，拟对</w:t>
      </w:r>
      <w:r>
        <w:rPr>
          <w:rFonts w:ascii="仿宋_GB2312" w:hAnsi="仿宋_GB2312" w:cs="仿宋_GB2312" w:eastAsia="仿宋_GB2312"/>
        </w:rPr>
        <w:t>新建煎药室及个体化加工室采购项目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DLZCCS2026-1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新建煎药室及个体化加工室采购项目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大荔县中医医院新建煎药室和个体化加工室，建筑面积518.76平米，配套室外工程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采购包1（大荔县中医医院新建煎药室及个体化加工室采购项目）：属于专门面向中小企业采购。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2、授权委托：提供法定代表人授权书（附法定代表人有效身份证复印件，法定代表人直接参加只须提供法定代表人有效身份证复印件）及被授权人有效身份证复印件。</w:t>
      </w:r>
    </w:p>
    <w:p>
      <w:pPr>
        <w:pStyle w:val="null3"/>
      </w:pPr>
      <w:r>
        <w:rPr>
          <w:rFonts w:ascii="仿宋_GB2312" w:hAnsi="仿宋_GB2312" w:cs="仿宋_GB2312" w:eastAsia="仿宋_GB2312"/>
        </w:rPr>
        <w:t>3、企业资质：供应商应具备建筑工程总承包三级（含三级）及以上资质；具备合法有效的安全生产许可证；</w:t>
      </w:r>
    </w:p>
    <w:p>
      <w:pPr>
        <w:pStyle w:val="null3"/>
      </w:pPr>
      <w:r>
        <w:rPr>
          <w:rFonts w:ascii="仿宋_GB2312" w:hAnsi="仿宋_GB2312" w:cs="仿宋_GB2312" w:eastAsia="仿宋_GB2312"/>
        </w:rPr>
        <w:t>4、供应商拟派项目经理要求：项目经理具有建筑工程专业二级（或以上）注册建造师注册证书，具有有效安全生产考核合格证（B级），须在本单位注册，无不良信用记录（提供承诺书），未担任其他在建项目提供无在建工程承诺书；</w:t>
      </w:r>
    </w:p>
    <w:p>
      <w:pPr>
        <w:pStyle w:val="null3"/>
      </w:pPr>
      <w:r>
        <w:rPr>
          <w:rFonts w:ascii="仿宋_GB2312" w:hAnsi="仿宋_GB2312" w:cs="仿宋_GB2312" w:eastAsia="仿宋_GB2312"/>
        </w:rPr>
        <w:t>5、信用记录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pPr>
      <w:r>
        <w:rPr>
          <w:rFonts w:ascii="仿宋_GB2312" w:hAnsi="仿宋_GB2312" w:cs="仿宋_GB2312" w:eastAsia="仿宋_GB2312"/>
        </w:rPr>
        <w:t>6、政策落实：本项目为专门面向中小企业项目，供应商应为中型企业或小型、微型企业或监狱企业或残疾人福利性单位。供应商为中小企业的，提供《中小企业声明函》，且中小企业的划分标准为建筑行业；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大荔县西三环商贸大道中段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0913-3397305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大荔县西城街道洛滨大道（财政局705室）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大荔县财政局采购管理股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大荔县中医医院</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联系人：石女士</w:t>
      </w:r>
    </w:p>
    <w:p>
      <w:pPr>
        <w:pStyle w:val="null3"/>
      </w:pPr>
      <w:r>
        <w:rPr>
          <w:rFonts w:ascii="仿宋_GB2312" w:hAnsi="仿宋_GB2312" w:cs="仿宋_GB2312" w:eastAsia="仿宋_GB2312"/>
        </w:rPr>
        <w:t>联系电话：0913-3256359</w:t>
      </w:r>
    </w:p>
    <w:p>
      <w:pPr>
        <w:pStyle w:val="null3"/>
      </w:pPr>
      <w:r>
        <w:rPr>
          <w:rFonts w:ascii="仿宋_GB2312" w:hAnsi="仿宋_GB2312" w:cs="仿宋_GB2312" w:eastAsia="仿宋_GB2312"/>
        </w:rPr>
        <w:t>地址：大荔县西城街道洛滨大道（财政局705室）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943,000.00</w:t>
      </w:r>
    </w:p>
    <w:p>
      <w:pPr>
        <w:pStyle w:val="null3"/>
      </w:pPr>
      <w:r>
        <w:rPr>
          <w:rFonts w:ascii="仿宋_GB2312" w:hAnsi="仿宋_GB2312" w:cs="仿宋_GB2312" w:eastAsia="仿宋_GB2312"/>
        </w:rPr>
        <w:t>采购包最高限价（元）: 943,000.00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rPr>
              <w:t>项目名称：新建煎药室及个体化加工室工程</w:t>
            </w:r>
            <w:r>
              <w:br/>
            </w:r>
            <w:r>
              <w:rPr>
                <w:rFonts w:ascii="仿宋_GB2312" w:hAnsi="仿宋_GB2312" w:cs="仿宋_GB2312" w:eastAsia="仿宋_GB2312"/>
                <w:sz w:val="15"/>
              </w:rPr>
              <w:t xml:space="preserve"> 工期：100日历天</w:t>
            </w:r>
            <w:r>
              <w:br/>
            </w:r>
            <w:r>
              <w:rPr>
                <w:rFonts w:ascii="仿宋_GB2312" w:hAnsi="仿宋_GB2312" w:cs="仿宋_GB2312" w:eastAsia="仿宋_GB2312"/>
                <w:sz w:val="15"/>
              </w:rPr>
              <w:t xml:space="preserve"> 地点：大荔县中医医院</w:t>
            </w:r>
            <w:r>
              <w:br/>
            </w:r>
            <w:r>
              <w:rPr>
                <w:rFonts w:ascii="仿宋_GB2312" w:hAnsi="仿宋_GB2312" w:cs="仿宋_GB2312" w:eastAsia="仿宋_GB2312"/>
                <w:sz w:val="15"/>
              </w:rPr>
              <w:t xml:space="preserve"> 计价：</w:t>
            </w:r>
            <w:r>
              <w:rPr>
                <w:rFonts w:ascii="仿宋_GB2312" w:hAnsi="仿宋_GB2312" w:cs="仿宋_GB2312" w:eastAsia="仿宋_GB2312"/>
                <w:sz w:val="15"/>
                <w:color w:val="000000"/>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《建筑工程质量检验评定标准》、《建筑机械使用安全技术规程》等相关国家及工程所在地颁发的有关工程施工的各类规范、规定与行业标准。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 2、成交人应配合项目建设进度,向采购人提供施工组织计划、进度计划和施工作业计划，并签订施工安全责任书。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提供2024年度完整审计报告，成立时间至提交磋商响应文件截止时间不足1年的提供磋商前一个月内基本存款账户开户银行出具的资信证明。②提供已缴纳的2025年7月以来至少1个月的纳税证明或完税证明（任意税种），依法免税的供应商应提供相关证明材料。③提供2025年7月以来至少1个月的社会保障资金缴存单据或社保机构开具的社会保险参保缴费情况证明，依法不需要缴纳社会保障资金的供应商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特殊资格审查.docx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提供法定代表人授权书（附法定代表人有效身份证复印件，法定代表人直接参加只须提供法定代表人有效身份证复印件）及被授权人有效身份证复印件。</w:t>
            </w:r>
          </w:p>
        </w:tc>
        <w:tc>
          <w:tcPr>
            <w:tcW w:type="dxa" w:w="1661"/>
          </w:tcPr>
          <w:p>
            <w:pPr>
              <w:pStyle w:val="null3"/>
            </w:pPr>
            <w:r>
              <w:rPr>
                <w:rFonts w:ascii="仿宋_GB2312" w:hAnsi="仿宋_GB2312" w:cs="仿宋_GB2312" w:eastAsia="仿宋_GB2312"/>
              </w:rPr>
              <w:t>特殊资格审查.docx 法定代表人资格证明书.docx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供应商应具备建筑工程总承包三级（含三级）及以上资质；具备合法有效的安全生产许可证；</w:t>
            </w:r>
          </w:p>
        </w:tc>
        <w:tc>
          <w:tcPr>
            <w:tcW w:type="dxa" w:w="1661"/>
          </w:tcPr>
          <w:p>
            <w:pPr>
              <w:pStyle w:val="null3"/>
            </w:pPr>
            <w:r>
              <w:rPr>
                <w:rFonts w:ascii="仿宋_GB2312" w:hAnsi="仿宋_GB2312" w:cs="仿宋_GB2312" w:eastAsia="仿宋_GB2312"/>
              </w:rPr>
              <w:t>特殊资格审查.docx 供应商认为有必要补充说明的事宜.docx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项目经理具有建筑工程专业二级（或以上）注册建造师注册证书，具有有效安全生产考核合格证（B级），须在本单位注册，无不良信用记录（提供承诺书），未担任其他在建项目提供无在建工程承诺书；</w:t>
            </w:r>
          </w:p>
        </w:tc>
        <w:tc>
          <w:tcPr>
            <w:tcW w:type="dxa" w:w="1661"/>
          </w:tcPr>
          <w:p>
            <w:pPr>
              <w:pStyle w:val="null3"/>
            </w:pPr>
            <w:r>
              <w:rPr>
                <w:rFonts w:ascii="仿宋_GB2312" w:hAnsi="仿宋_GB2312" w:cs="仿宋_GB2312" w:eastAsia="仿宋_GB2312"/>
              </w:rPr>
              <w:t>特殊资格审查.docx 供应商认为有必要补充说明的事宜.docx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特殊资格审查.docx 供应商认为有必要补充说明的事宜.docx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政策落实</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供应商为中小企业的，提供《中小企业声明函》，且中小企业的划分标准为建筑行业；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特殊资格审查.docx 中小企业声明函 残疾人福利性单位声明函 供应商认为有必要补充说明的事宜.docx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分部分项工程量清单计价表.xlsx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1.响应主体 2.响应文件语言及有效期 3.响应文件签署、盖章 4.第一次磋商报价 5.商务响应要求 6.合同草案条款响应 7.无其他磋商文件或法规明确规定响应无效的事项</w:t>
            </w:r>
          </w:p>
        </w:tc>
        <w:tc>
          <w:tcPr>
            <w:tcW w:type="dxa" w:w="3322"/>
          </w:tcPr>
          <w:p>
            <w:pPr>
              <w:pStyle w:val="null3"/>
            </w:pPr>
            <w:r>
              <w:rPr>
                <w:rFonts w:ascii="仿宋_GB2312" w:hAnsi="仿宋_GB2312" w:cs="仿宋_GB2312" w:eastAsia="仿宋_GB2312"/>
              </w:rPr>
              <w:t>1.磋商响应文件落款、营业执照、公章供应商名称完全一致。 2.响应文件语言及有效期符合磋商文件要求。 3.均按磋商文件要求签字、盖章（评分标准中要求提供的证明材料除外）。 4.只能有一个有效报价，不接受选择性报价；第一次磋商报价表填写符合要求；计量单位、报价货币均符合磋商文件要求；第一次磋商报价未超出采购预算或磋商文件规定的最高限价；第一次磋商报价没有与市场价偏差较大、低于成本、可能影响货物质量或不能诚信履约。 5.工期、质保期、施工地点、付款方式等。 6.有完全理解并接受磋商文件合同草案条款要求的描述。 7.响应文件中如含有采购人不接受的附加条件，或存在不符合磋商文件规定的其他条款则被视为无效响应。</w:t>
            </w:r>
          </w:p>
        </w:tc>
        <w:tc>
          <w:tcPr>
            <w:tcW w:type="dxa" w:w="1661"/>
          </w:tcPr>
          <w:p>
            <w:pPr>
              <w:pStyle w:val="null3"/>
            </w:pPr>
            <w:r>
              <w:rPr>
                <w:rFonts w:ascii="仿宋_GB2312" w:hAnsi="仿宋_GB2312" w:cs="仿宋_GB2312" w:eastAsia="仿宋_GB2312"/>
              </w:rPr>
              <w:t>售后服务方案.docx 质量认证证书质检报告质保措施等.docx 主要材料价格表.docx 法定代表人资格证明书.docx 强制优先采购产品承诺函 磋商声明书.docx 符合性审查.docx 标的清单 供应商类似项目业绩一览表 主要人员简历表 措施项目清单计价表.xlsx 供应商认为有必要补充说明的事宜.docx 节能环保、环境标志产品明细表.docx 监狱企业的证明文件 工程造价汇总表.docx 已标价工程量清单 特殊资格审查.docx 单位工程造价汇总表.xlsx 中小企业声明函 技术服务合同条款及其他商务要求应答表 供应商应提交的相关资格证明材料 分部分项工程量清单计价表.xlsx 响应文件封面 项目管理机构组成表 详细评审.docx 残疾人福利性单位声明函 拒绝政府采购领域商业贿赂承诺书.docx 报价函 其他项目清单.docx 规费、税金项目清单计价表.docx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提供的施工方案进行评审，评审内容包含但不限于：（1）有具体的施工方案（2）施工次序（3）施工中组织与工期保证措施等。以上内容无缺项，专门针对本项目编制，符合本项目实际情况，内容全面详细， 且条理清晰、准确，能够保障项目顺利实施的得12分。每小项缺项或者内容非针对于本项目的扣4分，每小项有一处缺陷的扣1分，扣完为止。（缺陷是指：施工方案内容不完整、条理不清晰、缺少关键点、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根据供应商提供的项目管理机构进行评审，评审内容包含但不限于：（1）项目团队成员清单及架构（2）项目组配备人员的专业素质及岗位分工及责任制度。 以上内容无缺项，专门针对本项目编制，符合本项目实际情况，内容全面详细 ，且人员分配具体、准确、能够合理化能够保障项目顺利实施的得8 分。每小项缺项或者内容非针对于本项目的扣4分，每小项有一处缺陷的扣1分，扣完为止。（缺陷是指：项目管理机构不完整、条理不清晰、缺少关键管理人员、人员分配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根据供应商提供的施工质量及施工进度保证措施进行评审，评审内容包括但不限于：（1）质量目标管理体系及质量的检验制度（2）施工质量进度及技术保证措施。以上内容无缺项，专门针对本项目编制，符合本项目实际情况，内容描述全面详细，且条理清晰、准确、措施合理，能够保障项目顺利实施的得8分。每小项缺项或者内容非针对于本项目的扣4分，每小项有一处缺陷的扣1分，扣完为止。（缺陷是指：施工质量及进度保证措施内容不完整、条理不清晰、缺少关键点、措施描述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根据供应商提供的安全、文明施工措施及环境保证措施进行评审，评审内容包括但不限于：（1）安全文明施工目标、安全生产管理体系、安全标识及施工现场的临时管理措施、文明施工保证措施（2）环境保护管理体系及环保控制措施。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安全、文明施工措施及环境保护措施描述内容不完整、条理不清晰、未对安全做出具体明确的解决措施等、缺少关键点、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根据供应商提供的劳动力安排及施工机械配备投入计划进行评审，评审内容包含但不限于：（1）劳动力投入计划、劳务分包情况及劳动力保证措施 （2）投入的机械设备投入计划。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劳动力投入计划条理不清晰、劳动 力保证措施安排不到位、针对性不强、内容无紧扣项目实际情况、表述前后不一致、现有技术条件下不可能出现的及其他不利于项目实施的情形等任意一种情形）。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根据供应商提供的施工现场扬尘污染防治措施进行评审，评审内容包含但不限于：（1）污染物、杂物及废弃物处理的排放（2）噪音控制、防尘及扬尘的准备工作及防治措施。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施工现场扬尘污染防治措施内容不完整 、条理不清晰、缺少关键点、方案不具体、针对性不强、内容无紧扣项目实际情况、表述前后不一致、现有技术条件下不可能出现的及其他不利于项目实施的情形等任意一种情形）。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采用新技术、新工艺 对提高工程质量、缩短工期、降低造价的可行性</w:t>
            </w:r>
          </w:p>
        </w:tc>
        <w:tc>
          <w:tcPr>
            <w:tcW w:type="dxa" w:w="2492"/>
          </w:tcPr>
          <w:p>
            <w:pPr>
              <w:pStyle w:val="null3"/>
            </w:pPr>
            <w:r>
              <w:rPr>
                <w:rFonts w:ascii="仿宋_GB2312" w:hAnsi="仿宋_GB2312" w:cs="仿宋_GB2312" w:eastAsia="仿宋_GB2312"/>
              </w:rPr>
              <w:t>根据供应商提供的技术、新工艺对提高工程质量、缩短工期、降低造价的可行性进行评审，评审内容包含但不限于：（1）新技术、新工艺对提高工程质量的可行性（2）新技术、新工艺对提高工程质量的可行性对降低造价的可行性。以上内容无缺项，专门针对本项目编制，符合本项目实际情况，内容全面详细，且条理清晰、准确、措施合理化能够保障项目顺利实施的得8分。每小项缺项或者内容非针对于本项目的扣4分，每小项有一处缺陷的扣1分，扣完为止。（缺陷是指：针对新技术、新工艺描述不完整、条理不清晰、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后续质保服务</w:t>
            </w:r>
          </w:p>
        </w:tc>
        <w:tc>
          <w:tcPr>
            <w:tcW w:type="dxa" w:w="2492"/>
          </w:tcPr>
          <w:p>
            <w:pPr>
              <w:pStyle w:val="null3"/>
            </w:pPr>
            <w:r>
              <w:rPr>
                <w:rFonts w:ascii="仿宋_GB2312" w:hAnsi="仿宋_GB2312" w:cs="仿宋_GB2312" w:eastAsia="仿宋_GB2312"/>
              </w:rPr>
              <w:t>根据供应商提供的后续服务承诺进行评审，评审内容包含但不限于：（1）针对本项目实际需求提供实质性服务承诺及保障措施（2）针对本项目的施工验收后期的质保承诺。以上内容无缺项，专门针对本项目编制，符合本项目实际情况，内容全面详细，且条理清晰、准确、措施合理，能够保障项目顺利实施的得8分。每小项缺项或者内容非针对于本项目的扣4分，每小项有一处缺陷的扣1分，扣完为止。（缺陷是指：后续服务方案内容不完整、条理不清晰、 缺少关键点、方案不具体、针对性不强、内容无紧扣项目实际情况、表述前后不一致、现有技术条件下不可能出现的及其他不利于项目实施的情形等任意一种情形）。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供应商认为有必要补充说明的事宜.docx</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售后服务方案.docx</w:t>
            </w:r>
          </w:p>
          <w:p>
            <w:pPr>
              <w:pStyle w:val="null3"/>
            </w:pPr>
            <w:r>
              <w:rPr>
                <w:rFonts w:ascii="仿宋_GB2312" w:hAnsi="仿宋_GB2312" w:cs="仿宋_GB2312" w:eastAsia="仿宋_GB2312"/>
              </w:rPr>
              <w:t>质量认证证书质检报告质保措施等.docx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提供（2023年1月至今）的类似项目业绩，每提供一个业绩得1分，本项最高得2分。（合同复印件加盖供应商公章，以合同时间签订为准）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各供应商的在多次报价中应逐次降价，二次报价超过首次报价的，为无效报价，取消其磋商资格。3、满足磋商文件实质性要求且最终报价最低的供应商的价格为磋商基准价，其价格分为满分30分。4、磋商报价得分=（磋商基准价/最终磋商报价）×价格权值×100% 5、磋商报价不完整的，不进入磋商基准价的计算，本项得0分。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详细评审.docx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详见附件：措施项目清单计价表.xlsx</w:t>
      </w:r>
    </w:p>
    <w:p>
      <w:pPr>
        <w:pStyle w:val="null3"/>
        <w:ind w:firstLine="960"/>
      </w:pPr>
      <w:r>
        <w:rPr>
          <w:rFonts w:ascii="仿宋_GB2312" w:hAnsi="仿宋_GB2312" w:cs="仿宋_GB2312" w:eastAsia="仿宋_GB2312"/>
        </w:rPr>
        <w:t>详见附件：单位工程造价汇总表.xlsx</w:t>
      </w:r>
    </w:p>
    <w:p>
      <w:pPr>
        <w:pStyle w:val="null3"/>
        <w:ind w:firstLine="960"/>
      </w:pPr>
      <w:r>
        <w:rPr>
          <w:rFonts w:ascii="仿宋_GB2312" w:hAnsi="仿宋_GB2312" w:cs="仿宋_GB2312" w:eastAsia="仿宋_GB2312"/>
        </w:rPr>
        <w:t>详见附件：分部分项工程量清单计价表.xlsx</w:t>
      </w:r>
    </w:p>
    <w:p>
      <w:pPr>
        <w:pStyle w:val="null3"/>
        <w:ind w:firstLine="960"/>
      </w:pPr>
      <w:r>
        <w:rPr>
          <w:rFonts w:ascii="仿宋_GB2312" w:hAnsi="仿宋_GB2312" w:cs="仿宋_GB2312" w:eastAsia="仿宋_GB2312"/>
        </w:rPr>
        <w:t>详见附件：磋商声明书.docx</w:t>
      </w:r>
    </w:p>
    <w:p>
      <w:pPr>
        <w:pStyle w:val="null3"/>
        <w:ind w:firstLine="960"/>
      </w:pPr>
      <w:r>
        <w:rPr>
          <w:rFonts w:ascii="仿宋_GB2312" w:hAnsi="仿宋_GB2312" w:cs="仿宋_GB2312" w:eastAsia="仿宋_GB2312"/>
        </w:rPr>
        <w:t>详见附件：符合性审查.docx</w:t>
      </w:r>
    </w:p>
    <w:p>
      <w:pPr>
        <w:pStyle w:val="null3"/>
        <w:ind w:firstLine="960"/>
      </w:pPr>
      <w:r>
        <w:rPr>
          <w:rFonts w:ascii="仿宋_GB2312" w:hAnsi="仿宋_GB2312" w:cs="仿宋_GB2312" w:eastAsia="仿宋_GB2312"/>
        </w:rPr>
        <w:t>详见附件：工程造价汇总表.docx</w:t>
      </w:r>
    </w:p>
    <w:p>
      <w:pPr>
        <w:pStyle w:val="null3"/>
        <w:ind w:firstLine="960"/>
      </w:pPr>
      <w:r>
        <w:rPr>
          <w:rFonts w:ascii="仿宋_GB2312" w:hAnsi="仿宋_GB2312" w:cs="仿宋_GB2312" w:eastAsia="仿宋_GB2312"/>
        </w:rPr>
        <w:t>详见附件：特殊资格审查.docx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详见附件：规费、税金项目清单计价表.docx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详见附件：其他项目清单.docx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详见附件：质量认证证书质检报告质保措施等.docx</w:t>
      </w:r>
    </w:p>
    <w:p>
      <w:pPr>
        <w:pStyle w:val="null3"/>
        <w:ind w:firstLine="960"/>
      </w:pPr>
      <w:r>
        <w:rPr>
          <w:rFonts w:ascii="仿宋_GB2312" w:hAnsi="仿宋_GB2312" w:cs="仿宋_GB2312" w:eastAsia="仿宋_GB2312"/>
        </w:rPr>
        <w:t>详见附件：主要材料价格表.docx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