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版本号：ZCSP-大荔县-2025-00217.1B220260107001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区域综合农事服务中心建设项目(三次)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ZCSP-大荔县-2025-00217.1B2</w:t>
      </w:r>
      <w:r>
        <w:br/>
      </w:r>
      <w:r>
        <w:br/>
      </w:r>
      <w:r>
        <w:br/>
      </w:r>
    </w:p>
    <w:p>
      <w:pPr>
        <w:pStyle w:val="null3"/>
        <w:jc w:val="center"/>
        <w:outlineLvl w:val="2"/>
      </w:pPr>
      <w:r>
        <w:rPr>
          <w:rFonts w:ascii="仿宋_GB2312" w:hAnsi="仿宋_GB2312" w:cs="仿宋_GB2312" w:eastAsia="仿宋_GB2312"/>
          <w:sz w:val="28"/>
          <w:b/>
        </w:rPr>
        <w:t>大荔县农业机械化发展中心</w:t>
      </w:r>
    </w:p>
    <w:p>
      <w:pPr>
        <w:pStyle w:val="null3"/>
        <w:jc w:val="center"/>
        <w:outlineLvl w:val="2"/>
      </w:pPr>
      <w:r>
        <w:rPr>
          <w:rFonts w:ascii="仿宋_GB2312" w:hAnsi="仿宋_GB2312" w:cs="仿宋_GB2312" w:eastAsia="仿宋_GB2312"/>
          <w:sz w:val="28"/>
          <w:b/>
        </w:rPr>
        <w:t>德煜项目管理有限公司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德煜项目管理有限公司</w:t>
      </w:r>
      <w:r>
        <w:rPr>
          <w:rFonts w:ascii="仿宋_GB2312" w:hAnsi="仿宋_GB2312" w:cs="仿宋_GB2312" w:eastAsia="仿宋_GB2312"/>
        </w:rPr>
        <w:t>（以下简称“代理机构”）受</w:t>
      </w:r>
      <w:r>
        <w:rPr>
          <w:rFonts w:ascii="仿宋_GB2312" w:hAnsi="仿宋_GB2312" w:cs="仿宋_GB2312" w:eastAsia="仿宋_GB2312"/>
        </w:rPr>
        <w:t>大荔县农业机械化发展中心</w:t>
      </w:r>
      <w:r>
        <w:rPr>
          <w:rFonts w:ascii="仿宋_GB2312" w:hAnsi="仿宋_GB2312" w:cs="仿宋_GB2312" w:eastAsia="仿宋_GB2312"/>
        </w:rPr>
        <w:t>委托，拟对</w:t>
      </w:r>
      <w:r>
        <w:rPr>
          <w:rFonts w:ascii="仿宋_GB2312" w:hAnsi="仿宋_GB2312" w:cs="仿宋_GB2312" w:eastAsia="仿宋_GB2312"/>
        </w:rPr>
        <w:t>区域综合农事服务中心建设项目(三次)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ZCSP-大荔县-2025-00217.1B2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区域综合农事服务中心建设项目(三次)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及分包情况：大荔县农业机械化发展中心区域综合农事服务中心建设项目，1项，预算金额80.1万元，项目概况：建设赵渡镇、朝邑镇、韦林镇综合农事服务中心，购置联合收割机3台，配套维修设备等。主要功能和目标：带动辐射周边村镇，促进当地农业社会化服务水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1、营业执照等证明文件：具备独立承担民事责任的能力，具有法人、事业法人、其它组织的营业执照等证明文件;</w:t>
      </w:r>
    </w:p>
    <w:p>
      <w:pPr>
        <w:pStyle w:val="null3"/>
      </w:pPr>
      <w:r>
        <w:rPr>
          <w:rFonts w:ascii="仿宋_GB2312" w:hAnsi="仿宋_GB2312" w:cs="仿宋_GB2312" w:eastAsia="仿宋_GB2312"/>
        </w:rPr>
        <w:t>2、法定代表人准授权委托书或法定代表人身份证明书：法定代表人授权书及被授权人身份证复印件加盖公章(法定代表人直接参加投标，只须提交其身份证及其复印件);</w:t>
      </w:r>
    </w:p>
    <w:p>
      <w:pPr>
        <w:pStyle w:val="null3"/>
      </w:pPr>
      <w:r>
        <w:rPr>
          <w:rFonts w:ascii="仿宋_GB2312" w:hAnsi="仿宋_GB2312" w:cs="仿宋_GB2312" w:eastAsia="仿宋_GB2312"/>
        </w:rPr>
        <w:t>3、财务状况报告：提供经审计的2024年度的财务报告或开标前六个月内其基本账户开户银行出具的资信证明(成立时间至提交投标文件截止时间不足一年的可提供成立后任意时段的资产负债表);其他组织和自然人提供银行出具的资信证明或财务报表;</w:t>
      </w:r>
    </w:p>
    <w:p>
      <w:pPr>
        <w:pStyle w:val="null3"/>
      </w:pPr>
      <w:r>
        <w:rPr>
          <w:rFonts w:ascii="仿宋_GB2312" w:hAnsi="仿宋_GB2312" w:cs="仿宋_GB2312" w:eastAsia="仿宋_GB2312"/>
        </w:rPr>
        <w:t>4、税收缴纳证明：提供2024年12月至今已缴纳的至少一个月的纳税证明或完税证明(任意税种)，依法免税的单位应提供相关证明材料;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5、社会保障资金缴纳证明：提供2024年12月至今已缴存的至少一个月的社会保障资金缴存凭证或社保机构开具的社会保险参 保缴费情况证明，依法不需要缴纳社会保障资金的单位应提供相关证明材料;</w:t>
      </w:r>
    </w:p>
    <w:p>
      <w:pPr>
        <w:pStyle w:val="null3"/>
      </w:pPr>
      <w:r>
        <w:rPr>
          <w:rFonts w:ascii="仿宋_GB2312" w:hAnsi="仿宋_GB2312" w:cs="仿宋_GB2312" w:eastAsia="仿宋_GB2312"/>
        </w:rPr>
        <w:t>6、书面声明：①提供参加政府采购活动前3年内在经营活动中没有重大违法记录的书面声明;②提供具有履行本合同所必需的设备和专业技术能力的声明;</w:t>
      </w:r>
    </w:p>
    <w:p>
      <w:pPr>
        <w:pStyle w:val="null3"/>
      </w:pPr>
      <w:r>
        <w:rPr>
          <w:rFonts w:ascii="仿宋_GB2312" w:hAnsi="仿宋_GB2312" w:cs="仿宋_GB2312" w:eastAsia="仿宋_GB2312"/>
        </w:rPr>
        <w:t>7、信誉：投标人不得为“信用中国”网站（www.creditchina.gov.cn）中列入失信被执行人和重大违法税收失信主体的投标人，不得为中国政府采购网（www.ccgp.gov.cn）政府采购严重违法失信行为记录名单中被财政部门禁止参加政府采购活动投标人；（提供查询结果网页截图并加盖投标人公章）；</w:t>
      </w:r>
    </w:p>
    <w:p>
      <w:pPr>
        <w:pStyle w:val="null3"/>
      </w:pPr>
      <w:r>
        <w:rPr>
          <w:rFonts w:ascii="仿宋_GB2312" w:hAnsi="仿宋_GB2312" w:cs="仿宋_GB2312" w:eastAsia="仿宋_GB2312"/>
        </w:rPr>
        <w:t>8、单位负责人为同一人或者存在直接控股、管理关系的不同投标人，不得参加同一合同项下的政府采购活动：须提供企业关系关联承诺书;</w:t>
      </w:r>
    </w:p>
    <w:p>
      <w:pPr>
        <w:pStyle w:val="null3"/>
      </w:pPr>
      <w:r>
        <w:rPr>
          <w:rFonts w:ascii="仿宋_GB2312" w:hAnsi="仿宋_GB2312" w:cs="仿宋_GB2312" w:eastAsia="仿宋_GB2312"/>
        </w:rPr>
        <w:t>9、本项目不接受联合体投标：本项目不接受联合体投标，须提供非联合体声明或承诺。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大荔县农业机械化发展中心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大荔县东新街4号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大荔县农业机械化发展中心经办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18091310522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德煜项目管理有限公司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陕西省西安市碑林区长安北路南稍门十字东南角大话南门1幢1单元19层11908室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王燕燕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18109251231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王小菊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13991675585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无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代理服务费收费标准：代理服务费收费标准:按照《国家发展改革委关于进一步放开建设项目专业服务价格的通知》(发改价格(2015)299号)的要求，参照计价格(2002) 1980号、发改价格(2011)534号文件的计费标准，以中标(成交)价为基数计算，按照标准收职。代理费缴纳账号:开户名称:德煜项目管理有限公司 开户行:中国银行股份有限公司西安市经济技术开发区支行 账号:102877650720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大荔县农业机械化发展中心</w:t>
      </w:r>
      <w:r>
        <w:rPr>
          <w:rFonts w:ascii="仿宋_GB2312" w:hAnsi="仿宋_GB2312" w:cs="仿宋_GB2312" w:eastAsia="仿宋_GB2312"/>
        </w:rPr>
        <w:t>和</w:t>
      </w:r>
      <w:r>
        <w:rPr>
          <w:rFonts w:ascii="仿宋_GB2312" w:hAnsi="仿宋_GB2312" w:cs="仿宋_GB2312" w:eastAsia="仿宋_GB2312"/>
        </w:rPr>
        <w:t>德煜项目管理有限公司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大荔县农业机械化发展中心</w:t>
      </w:r>
      <w:r>
        <w:rPr>
          <w:rFonts w:ascii="仿宋_GB2312" w:hAnsi="仿宋_GB2312" w:cs="仿宋_GB2312" w:eastAsia="仿宋_GB2312"/>
        </w:rPr>
        <w:t>负责解释。除上述招标文件内容，其他内容由</w:t>
      </w:r>
      <w:r>
        <w:rPr>
          <w:rFonts w:ascii="仿宋_GB2312" w:hAnsi="仿宋_GB2312" w:cs="仿宋_GB2312" w:eastAsia="仿宋_GB2312"/>
        </w:rPr>
        <w:t>德煜项目管理有限公司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大荔县农业机械化发展中心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德煜项目管理有限公司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制定完整履约验收方案，在采购项目需求确定和实施阶段，根据项目特点，由大荔县农业农村局牵头组织，大荔县财政局、农业机械化发展中心、派驻纪检监察组等单位和人员参加，成立项目验收小组，采取现场验收和资料审查相结合， 对照项目采购内容，参数规格要求，采购数量等，以及设备合格证和相关质量保证资料，认真验验复核，并签字备存，确保项目质量和投资效益。</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德煜项目管理有限公司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德煜项目管理有限公司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德煜项目管理有限公司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联系人：王燕燕</w:t>
      </w:r>
    </w:p>
    <w:p>
      <w:pPr>
        <w:pStyle w:val="null3"/>
      </w:pPr>
      <w:r>
        <w:rPr>
          <w:rFonts w:ascii="仿宋_GB2312" w:hAnsi="仿宋_GB2312" w:cs="仿宋_GB2312" w:eastAsia="仿宋_GB2312"/>
        </w:rPr>
        <w:t>联系电话：18109251231</w:t>
      </w:r>
    </w:p>
    <w:p>
      <w:pPr>
        <w:pStyle w:val="null3"/>
      </w:pPr>
      <w:r>
        <w:rPr>
          <w:rFonts w:ascii="仿宋_GB2312" w:hAnsi="仿宋_GB2312" w:cs="仿宋_GB2312" w:eastAsia="仿宋_GB2312"/>
        </w:rPr>
        <w:t>地址：陕西省西安市碑林区长安北路南稍门十字东南角大话南门1幢1单元19层11908室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大荔县农业机械化发展中心区域综合农事服务中心建设项目，1项，预算金额80.1万元，项目概况：建设赵渡镇、朝邑镇、韦林镇综合农事服务中心，购置联合收割机3台，配套维修设备等。主要功能和目标：带动辐射周边村镇，促进当地农业社会化服务水平。</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801,000.00</w:t>
      </w:r>
    </w:p>
    <w:p>
      <w:pPr>
        <w:pStyle w:val="null3"/>
      </w:pPr>
      <w:r>
        <w:rPr>
          <w:rFonts w:ascii="仿宋_GB2312" w:hAnsi="仿宋_GB2312" w:cs="仿宋_GB2312" w:eastAsia="仿宋_GB2312"/>
        </w:rPr>
        <w:t>采购包最高限价（元）: 801,000.00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联合收割机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标的名称：联合收割机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352"/>
              <w:gridCol w:w="835"/>
              <w:gridCol w:w="1630"/>
            </w:tblGrid>
            <w:tr>
              <w:tc>
                <w:tcPr>
                  <w:tcW w:type="dxa" w:w="1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项目</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c>
                <w:tcPr>
                  <w:tcW w:type="dxa" w:w="1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设计值</w:t>
                  </w:r>
                </w:p>
              </w:tc>
            </w:tr>
            <w:tr>
              <w:tc>
                <w:tcPr>
                  <w:tcW w:type="dxa" w:w="1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型号名称</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16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自走式谷物联合收割机</w:t>
                  </w:r>
                </w:p>
              </w:tc>
            </w:tr>
            <w:tr>
              <w:tc>
                <w:tcPr>
                  <w:tcW w:type="dxa" w:w="1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结构型式</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16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自走轮式、全喂入</w:t>
                  </w:r>
                </w:p>
              </w:tc>
            </w:tr>
            <w:tr>
              <w:tc>
                <w:tcPr>
                  <w:tcW w:type="dxa" w:w="1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配套发动机标定功率</w:t>
                  </w:r>
                  <w:r>
                    <w:rPr>
                      <w:rFonts w:ascii="仿宋_GB2312" w:hAnsi="仿宋_GB2312" w:cs="仿宋_GB2312" w:eastAsia="仿宋_GB2312"/>
                      <w:sz w:val="28"/>
                      <w:color w:val="000000"/>
                    </w:rPr>
                    <w:t>/额定净功率</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kW</w:t>
                  </w:r>
                </w:p>
              </w:tc>
              <w:tc>
                <w:tcPr>
                  <w:tcW w:type="dxa" w:w="16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≥139</w:t>
                  </w:r>
                </w:p>
              </w:tc>
            </w:tr>
            <w:tr>
              <w:tc>
                <w:tcPr>
                  <w:tcW w:type="dxa" w:w="1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割台工作幅宽</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mm</w:t>
                  </w:r>
                </w:p>
              </w:tc>
              <w:tc>
                <w:tcPr>
                  <w:tcW w:type="dxa" w:w="16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2750</w:t>
                  </w:r>
                </w:p>
              </w:tc>
            </w:tr>
            <w:tr>
              <w:tc>
                <w:tcPr>
                  <w:tcW w:type="dxa" w:w="1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喂入量</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kg/s</w:t>
                  </w:r>
                </w:p>
              </w:tc>
              <w:tc>
                <w:tcPr>
                  <w:tcW w:type="dxa" w:w="16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r>
            <w:tr>
              <w:tc>
                <w:tcPr>
                  <w:tcW w:type="dxa" w:w="1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脱粒机构布置方式</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16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纵向</w:t>
                  </w:r>
                </w:p>
              </w:tc>
            </w:tr>
            <w:tr>
              <w:tc>
                <w:tcPr>
                  <w:tcW w:type="dxa" w:w="1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驱动型式</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16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两驱</w:t>
                  </w:r>
                </w:p>
              </w:tc>
            </w:tr>
            <w:tr>
              <w:tc>
                <w:tcPr>
                  <w:tcW w:type="dxa" w:w="1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配套</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 行玉米割台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0"/>
              <w:jc w:val="both"/>
            </w:pPr>
            <w:r>
              <w:rPr>
                <w:rFonts w:ascii="仿宋_GB2312" w:hAnsi="仿宋_GB2312" w:cs="仿宋_GB2312" w:eastAsia="仿宋_GB2312"/>
                <w:sz w:val="32"/>
              </w:rPr>
              <w:t>二、需执行的国家相关标准、行业标准或者其他标准、规范</w:t>
            </w:r>
          </w:p>
          <w:p>
            <w:pPr>
              <w:pStyle w:val="null3"/>
              <w:ind w:firstLine="640"/>
              <w:jc w:val="both"/>
            </w:pPr>
            <w:r>
              <w:rPr>
                <w:rFonts w:ascii="仿宋_GB2312" w:hAnsi="仿宋_GB2312" w:cs="仿宋_GB2312" w:eastAsia="仿宋_GB2312"/>
                <w:sz w:val="32"/>
              </w:rPr>
              <w:t>执行</w:t>
            </w:r>
            <w:r>
              <w:rPr>
                <w:rFonts w:ascii="仿宋_GB2312" w:hAnsi="仿宋_GB2312" w:cs="仿宋_GB2312" w:eastAsia="仿宋_GB2312"/>
                <w:sz w:val="32"/>
              </w:rPr>
              <w:t>所有现行</w:t>
            </w:r>
            <w:r>
              <w:rPr>
                <w:rFonts w:ascii="仿宋_GB2312" w:hAnsi="仿宋_GB2312" w:cs="仿宋_GB2312" w:eastAsia="仿宋_GB2312"/>
                <w:sz w:val="32"/>
              </w:rPr>
              <w:t>的国家相关标准、行业标准</w:t>
            </w:r>
            <w:r>
              <w:rPr>
                <w:rFonts w:ascii="仿宋_GB2312" w:hAnsi="仿宋_GB2312" w:cs="仿宋_GB2312" w:eastAsia="仿宋_GB2312"/>
                <w:sz w:val="32"/>
              </w:rPr>
              <w:t>、</w:t>
            </w:r>
            <w:r>
              <w:rPr>
                <w:rFonts w:ascii="仿宋_GB2312" w:hAnsi="仿宋_GB2312" w:cs="仿宋_GB2312" w:eastAsia="仿宋_GB2312"/>
                <w:sz w:val="32"/>
              </w:rPr>
              <w:t>规范</w:t>
            </w:r>
            <w:r>
              <w:rPr>
                <w:rFonts w:ascii="仿宋_GB2312" w:hAnsi="仿宋_GB2312" w:cs="仿宋_GB2312" w:eastAsia="仿宋_GB2312"/>
                <w:sz w:val="32"/>
              </w:rPr>
              <w:t>、</w:t>
            </w:r>
            <w:r>
              <w:rPr>
                <w:rFonts w:ascii="仿宋_GB2312" w:hAnsi="仿宋_GB2312" w:cs="仿宋_GB2312" w:eastAsia="仿宋_GB2312"/>
                <w:sz w:val="32"/>
              </w:rPr>
              <w:t>规程中的强制性条款。</w:t>
            </w:r>
          </w:p>
          <w:p>
            <w:pPr>
              <w:pStyle w:val="null3"/>
              <w:ind w:firstLine="640"/>
              <w:jc w:val="both"/>
            </w:pPr>
            <w:r>
              <w:rPr>
                <w:rFonts w:ascii="仿宋_GB2312" w:hAnsi="仿宋_GB2312" w:cs="仿宋_GB2312" w:eastAsia="仿宋_GB2312"/>
                <w:sz w:val="32"/>
              </w:rPr>
              <w:t>三、质量、安全、技术规格、物理特性等要求</w:t>
            </w:r>
          </w:p>
          <w:p>
            <w:pPr>
              <w:pStyle w:val="null3"/>
              <w:ind w:firstLine="640"/>
              <w:jc w:val="both"/>
            </w:pPr>
            <w:r>
              <w:rPr>
                <w:rFonts w:ascii="仿宋_GB2312" w:hAnsi="仿宋_GB2312" w:cs="仿宋_GB2312" w:eastAsia="仿宋_GB2312"/>
                <w:sz w:val="32"/>
              </w:rPr>
              <w:t>质量：合格；</w:t>
            </w:r>
          </w:p>
          <w:p>
            <w:pPr>
              <w:pStyle w:val="null3"/>
              <w:ind w:firstLine="640"/>
              <w:jc w:val="both"/>
            </w:pPr>
            <w:r>
              <w:rPr>
                <w:rFonts w:ascii="仿宋_GB2312" w:hAnsi="仿宋_GB2312" w:cs="仿宋_GB2312" w:eastAsia="仿宋_GB2312"/>
                <w:sz w:val="32"/>
              </w:rPr>
              <w:t>安全：符合国家有关安全技术要求，落实安全生产责任，杜绝安全隐患；</w:t>
            </w:r>
          </w:p>
          <w:p>
            <w:pPr>
              <w:pStyle w:val="null3"/>
              <w:ind w:firstLine="640"/>
              <w:jc w:val="both"/>
            </w:pPr>
            <w:r>
              <w:rPr>
                <w:rFonts w:ascii="仿宋_GB2312" w:hAnsi="仿宋_GB2312" w:cs="仿宋_GB2312" w:eastAsia="仿宋_GB2312"/>
                <w:sz w:val="32"/>
              </w:rPr>
              <w:t>技术规格：需满足国家、行业相关规范要求及本项目采购参数要求；</w:t>
            </w:r>
          </w:p>
          <w:p>
            <w:pPr>
              <w:pStyle w:val="null3"/>
              <w:ind w:firstLine="640"/>
              <w:jc w:val="both"/>
            </w:pPr>
            <w:r>
              <w:rPr>
                <w:rFonts w:ascii="仿宋_GB2312" w:hAnsi="仿宋_GB2312" w:cs="仿宋_GB2312" w:eastAsia="仿宋_GB2312"/>
                <w:sz w:val="32"/>
              </w:rPr>
              <w:t>质保期或服务期：一年；</w:t>
            </w:r>
          </w:p>
          <w:p>
            <w:pPr>
              <w:pStyle w:val="null3"/>
              <w:ind w:firstLine="640"/>
              <w:jc w:val="both"/>
            </w:pPr>
            <w:r>
              <w:rPr>
                <w:rFonts w:ascii="仿宋_GB2312" w:hAnsi="仿宋_GB2312" w:cs="仿宋_GB2312" w:eastAsia="仿宋_GB2312"/>
                <w:sz w:val="32"/>
              </w:rPr>
              <w:t>供货周期：合同签订生效后</w:t>
            </w:r>
            <w:r>
              <w:rPr>
                <w:rFonts w:ascii="仿宋_GB2312" w:hAnsi="仿宋_GB2312" w:cs="仿宋_GB2312" w:eastAsia="仿宋_GB2312"/>
                <w:sz w:val="32"/>
              </w:rPr>
              <w:t>30天内需要交货完毕、安装调试完成。</w:t>
            </w:r>
          </w:p>
          <w:p>
            <w:pPr>
              <w:pStyle w:val="null3"/>
              <w:ind w:firstLine="640"/>
              <w:jc w:val="both"/>
            </w:pPr>
            <w:r>
              <w:rPr>
                <w:rFonts w:ascii="仿宋_GB2312" w:hAnsi="仿宋_GB2312" w:cs="仿宋_GB2312" w:eastAsia="仿宋_GB2312"/>
                <w:sz w:val="32"/>
              </w:rPr>
              <w:t xml:space="preserve">   四、服务标准、期限、效率等要求</w:t>
            </w:r>
          </w:p>
          <w:p>
            <w:pPr>
              <w:pStyle w:val="null3"/>
              <w:numPr>
                <w:ilvl w:val="0"/>
                <w:numId w:val="1"/>
              </w:numPr>
              <w:ind w:firstLine="640"/>
              <w:jc w:val="both"/>
            </w:pPr>
            <w:r>
              <w:rPr>
                <w:rFonts w:ascii="仿宋_GB2312" w:hAnsi="仿宋_GB2312" w:cs="仿宋_GB2312" w:eastAsia="仿宋_GB2312"/>
                <w:sz w:val="32"/>
              </w:rPr>
              <w:t>供应商需要提供合理的项目整体实施方案，能按照项目分解节点并可跟踪实施；</w:t>
            </w:r>
          </w:p>
          <w:p>
            <w:pPr>
              <w:pStyle w:val="null3"/>
              <w:numPr>
                <w:ilvl w:val="0"/>
                <w:numId w:val="1"/>
              </w:numPr>
              <w:jc w:val="both"/>
            </w:pPr>
            <w:r>
              <w:rPr>
                <w:rFonts w:ascii="仿宋_GB2312" w:hAnsi="仿宋_GB2312" w:cs="仿宋_GB2312" w:eastAsia="仿宋_GB2312"/>
                <w:sz w:val="32"/>
              </w:rPr>
              <w:t>供应商需要提供供货实施方案，在规定的时间内有计划的完成项目需求产品的生产制造和装配；</w:t>
            </w:r>
          </w:p>
          <w:p>
            <w:pPr>
              <w:pStyle w:val="null3"/>
              <w:numPr>
                <w:ilvl w:val="0"/>
                <w:numId w:val="1"/>
              </w:numPr>
              <w:jc w:val="both"/>
            </w:pPr>
            <w:r>
              <w:rPr>
                <w:rFonts w:ascii="仿宋_GB2312" w:hAnsi="仿宋_GB2312" w:cs="仿宋_GB2312" w:eastAsia="仿宋_GB2312"/>
                <w:sz w:val="32"/>
              </w:rPr>
              <w:t>供应商需要提供质量保证措施，确保产品生产、供货过程中的质量控制；</w:t>
            </w:r>
          </w:p>
          <w:p>
            <w:pPr>
              <w:pStyle w:val="null3"/>
              <w:numPr>
                <w:ilvl w:val="0"/>
                <w:numId w:val="1"/>
              </w:numPr>
              <w:jc w:val="both"/>
            </w:pPr>
            <w:r>
              <w:rPr>
                <w:rFonts w:ascii="仿宋_GB2312" w:hAnsi="仿宋_GB2312" w:cs="仿宋_GB2312" w:eastAsia="仿宋_GB2312"/>
                <w:sz w:val="32"/>
              </w:rPr>
              <w:t>供应商需要提供安装、调试、培训、售后服务实施方案，根据货物交付时间节点，落实送货安装时间、培训时间和人员安排，确保按期交付使用，并配套相应的售后服务程序。</w:t>
            </w:r>
          </w:p>
          <w:p>
            <w:pPr>
              <w:pStyle w:val="null3"/>
              <w:ind w:firstLine="320"/>
              <w:jc w:val="both"/>
            </w:pPr>
            <w:r>
              <w:rPr>
                <w:rFonts w:ascii="仿宋_GB2312" w:hAnsi="仿宋_GB2312" w:cs="仿宋_GB2312" w:eastAsia="仿宋_GB2312"/>
                <w:sz w:val="32"/>
              </w:rPr>
              <w:t>五、验收标准</w:t>
            </w:r>
          </w:p>
          <w:p>
            <w:pPr>
              <w:pStyle w:val="null3"/>
              <w:ind w:firstLine="640"/>
              <w:jc w:val="both"/>
            </w:pPr>
            <w:r>
              <w:rPr>
                <w:rFonts w:ascii="仿宋_GB2312" w:hAnsi="仿宋_GB2312" w:cs="仿宋_GB2312" w:eastAsia="仿宋_GB2312"/>
                <w:sz w:val="32"/>
              </w:rPr>
              <w:t>1、所供产品的规格、</w:t>
            </w:r>
            <w:r>
              <w:rPr>
                <w:rFonts w:ascii="仿宋_GB2312" w:hAnsi="仿宋_GB2312" w:cs="仿宋_GB2312" w:eastAsia="仿宋_GB2312"/>
                <w:sz w:val="32"/>
              </w:rPr>
              <w:t>品牌、型号、</w:t>
            </w:r>
            <w:r>
              <w:rPr>
                <w:rFonts w:ascii="仿宋_GB2312" w:hAnsi="仿宋_GB2312" w:cs="仿宋_GB2312" w:eastAsia="仿宋_GB2312"/>
                <w:sz w:val="32"/>
              </w:rPr>
              <w:t>数量符合采购文件供应商投标承诺及采购合同约定的要求。</w:t>
            </w:r>
          </w:p>
          <w:p>
            <w:pPr>
              <w:pStyle w:val="null3"/>
              <w:ind w:firstLine="640"/>
              <w:jc w:val="both"/>
            </w:pPr>
            <w:r>
              <w:rPr>
                <w:rFonts w:ascii="仿宋_GB2312" w:hAnsi="仿宋_GB2312" w:cs="仿宋_GB2312" w:eastAsia="仿宋_GB2312"/>
                <w:sz w:val="32"/>
              </w:rPr>
              <w:t>2、所有产品均已运输至指定地点，并安装调试</w:t>
            </w:r>
            <w:r>
              <w:rPr>
                <w:rFonts w:ascii="仿宋_GB2312" w:hAnsi="仿宋_GB2312" w:cs="仿宋_GB2312" w:eastAsia="仿宋_GB2312"/>
                <w:sz w:val="32"/>
              </w:rPr>
              <w:t>验收</w:t>
            </w:r>
            <w:r>
              <w:rPr>
                <w:rFonts w:ascii="仿宋_GB2312" w:hAnsi="仿宋_GB2312" w:cs="仿宋_GB2312" w:eastAsia="仿宋_GB2312"/>
                <w:sz w:val="32"/>
              </w:rPr>
              <w:t>完毕。</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采购文件供应商投标承诺及采购合同约定的附件、工具、技术资料等齐全。</w:t>
            </w:r>
          </w:p>
          <w:p>
            <w:pPr>
              <w:pStyle w:val="null3"/>
              <w:ind w:firstLine="640"/>
              <w:jc w:val="both"/>
            </w:pPr>
            <w:r>
              <w:rPr>
                <w:rFonts w:ascii="仿宋_GB2312" w:hAnsi="仿宋_GB2312" w:cs="仿宋_GB2312" w:eastAsia="仿宋_GB2312"/>
                <w:sz w:val="32"/>
              </w:rPr>
              <w:t>4、符合国家和行业制定的相应的标准和规范。</w:t>
            </w:r>
          </w:p>
          <w:p>
            <w:pPr>
              <w:pStyle w:val="null3"/>
              <w:ind w:firstLine="640"/>
              <w:jc w:val="both"/>
            </w:pPr>
            <w:r>
              <w:rPr>
                <w:rFonts w:ascii="仿宋_GB2312" w:hAnsi="仿宋_GB2312" w:cs="仿宋_GB2312" w:eastAsia="仿宋_GB2312"/>
                <w:sz w:val="32"/>
              </w:rPr>
              <w:t>5、产品验收清单（注明各部件的品名、数量、规格型号和原产地或生产厂家）</w:t>
            </w:r>
          </w:p>
          <w:p>
            <w:pPr>
              <w:pStyle w:val="null3"/>
              <w:ind w:firstLine="640"/>
              <w:jc w:val="both"/>
            </w:pPr>
            <w:r>
              <w:rPr>
                <w:rFonts w:ascii="仿宋_GB2312" w:hAnsi="仿宋_GB2312" w:cs="仿宋_GB2312" w:eastAsia="仿宋_GB2312"/>
                <w:sz w:val="32"/>
              </w:rPr>
              <w:t>6、所供产品的售后承诺及培训符合投标文件要求。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合同签订生效后30天内需要交货完毕、安装调试完成。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大荔县农业机械化发展中心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安装调试并通过验收后一次性付清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1、所供产品的规格、品牌、型号、数量符合采购文件供应商投标承诺及采购合同约定的要求。 2、所有产品均已运输至指定地点，并安装调试验收完毕。 3、采购文件供应商投标承诺及采购合同约定的附件、工具、技术资料等齐全。 4、符合国家和行业制定的相应的标准和规范。 5、产品验收清单（注明各部件的品名、数量、规格型号和原产地或生产厂家） 6、所供产品的售后承诺及培训符合投标文件要求。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（一）未按合同要求提供产品不能满足技术要求，甲方会同监督机构、采购代理机构有权终止合同并对乙方的违约行为进 行追究，同时按政府采购供应商管理办法进行相应的处罚。 （二）甲方应按照合同约定的时间和比例向乙方支付货款。甲方 逾期付款的，应按照逾期未支付货款金额的同期银行贷款利率向乙方支付违约金。 （三）乙方交付的标的物不符合约定的， 甲方可以解除合同，并要求乙方按照合同的20%支付违约金。由此给甲方造成损失的，乙方还应当赔偿损失。 （四）乙方逾 期交货的，每逾期一日按合同价款的3‰ 向甲方支付违约金。逾期达 5 日，甲方有权解除合同，乙方应按合同价款的 20 % 向甲方支付违约金，并赔偿由此给甲方造成的相关经济损失。 （五）乙方未在约定的期限内完成安装调试并经甲方验收合格 的，每逾期一日按照合同总价款的 3 ‰向甲方支付违约金。逾期达 5日，甲方有权解除合同，并要求乙方按照合同总价款的 20 %支付违约金。由此给甲方造成损失的，乙方还应当赔偿损失。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中标供应商在中标结果公告发布后3个工作日内提供叁套纸质投标文件(经编标工具生成的文件直接打印并加盖公章)， 递交的纸质版文件内容确保与线上电子文 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 投标人近年完成的类似项目情况表.docx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承诺书.docx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具备独立承担民事责任的能力，具有法人、事业法人、其它组织的营业执照等证明文件;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法定代表人准授权委托书或法定代表人身份证明书</w:t>
            </w:r>
          </w:p>
        </w:tc>
        <w:tc>
          <w:tcPr>
            <w:tcW w:type="dxa" w:w="3322"/>
          </w:tcPr>
          <w:p>
            <w:pPr>
              <w:pStyle w:val="null3"/>
            </w:pPr>
            <w:r>
              <w:rPr>
                <w:rFonts w:ascii="仿宋_GB2312" w:hAnsi="仿宋_GB2312" w:cs="仿宋_GB2312" w:eastAsia="仿宋_GB2312"/>
              </w:rPr>
              <w:t>法定代表人授权书及被授权人身份证复印件加盖公章(法定代表人直接参加投标，只须提交其身份证及其复印件);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开标前六个月内其基本账户开户银行出具的资信证明(成立时间至提交投标文件截止时间不足一年的可提供成立后任意时段的资产负债表);其他组织和自然人提供银行出具的资信证明或财务报表;</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提供2024年12月至今已缴存的至少一个月的社会保障资金缴存凭证或社保机构开具的社会保险参 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①提供参加政府采购活动前3年内在经营活动中没有重大违法记录的书面声明;②提供具有履行本合同所必需的设备和专业技术能力的声明;</w:t>
            </w:r>
          </w:p>
        </w:tc>
        <w:tc>
          <w:tcPr>
            <w:tcW w:type="dxa" w:w="1661"/>
          </w:tcPr>
          <w:p>
            <w:pPr>
              <w:pStyle w:val="null3"/>
            </w:pPr>
            <w:r>
              <w:rPr>
                <w:rFonts w:ascii="仿宋_GB2312" w:hAnsi="仿宋_GB2312" w:cs="仿宋_GB2312" w:eastAsia="仿宋_GB2312"/>
              </w:rPr>
              <w:t>投标人资格证明文件.docx 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为“信用中国”网站（www.creditchina.gov.cn）中列入失信被执行人和重大违法税收失信主体的投标人，不得为中国政府采购网（www.ccgp.gov.cn）政府采购严重违法失信行为记录名单中被财政部门禁止参加政府采购活动投标人；（提供查询结果网页截图并加盖投标人公章）；</w:t>
            </w:r>
          </w:p>
        </w:tc>
        <w:tc>
          <w:tcPr>
            <w:tcW w:type="dxa" w:w="1661"/>
          </w:tcPr>
          <w:p>
            <w:pPr>
              <w:pStyle w:val="null3"/>
            </w:pPr>
            <w:r>
              <w:rPr>
                <w:rFonts w:ascii="仿宋_GB2312" w:hAnsi="仿宋_GB2312" w:cs="仿宋_GB2312" w:eastAsia="仿宋_GB2312"/>
              </w:rPr>
              <w:t>承诺书.docx 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pPr>
            <w:r>
              <w:rPr>
                <w:rFonts w:ascii="仿宋_GB2312" w:hAnsi="仿宋_GB2312" w:cs="仿宋_GB2312" w:eastAsia="仿宋_GB2312"/>
              </w:rPr>
              <w:t>须提供企业关系关联承诺书;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本项目不接受联合体投标，须提供非联合体声明或承诺。</w:t>
            </w:r>
          </w:p>
        </w:tc>
        <w:tc>
          <w:tcPr>
            <w:tcW w:type="dxa" w:w="1661"/>
          </w:tcPr>
          <w:p>
            <w:pPr>
              <w:pStyle w:val="null3"/>
            </w:pPr>
            <w:r>
              <w:rPr>
                <w:rFonts w:ascii="仿宋_GB2312" w:hAnsi="仿宋_GB2312" w:cs="仿宋_GB2312" w:eastAsia="仿宋_GB2312"/>
              </w:rPr>
              <w:t>承诺书.docx 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投标文件有效期满足招标文件要求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投标文件按照招标文件要求进行签章</w:t>
            </w:r>
          </w:p>
        </w:tc>
        <w:tc>
          <w:tcPr>
            <w:tcW w:type="dxa" w:w="1661"/>
          </w:tcPr>
          <w:p>
            <w:pPr>
              <w:pStyle w:val="null3"/>
            </w:pPr>
            <w:r>
              <w:rPr>
                <w:rFonts w:ascii="仿宋_GB2312" w:hAnsi="仿宋_GB2312" w:cs="仿宋_GB2312" w:eastAsia="仿宋_GB2312"/>
              </w:rPr>
              <w:t>开标一览表 投标方案说明.docx 中小企业声明函 商务应答表 承诺书.docx 投标人近年完成的类似项目情况表.docx 产品技术参数表 分项报价表.docx 投标函 残疾人福利性单位声明函 标的清单 投标人资格证明文件.docx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 方案</w:t>
            </w:r>
          </w:p>
        </w:tc>
        <w:tc>
          <w:tcPr>
            <w:tcW w:type="dxa" w:w="2492"/>
          </w:tcPr>
          <w:p>
            <w:pPr>
              <w:pStyle w:val="null3"/>
            </w:pPr>
            <w:r>
              <w:rPr>
                <w:rFonts w:ascii="仿宋_GB2312" w:hAnsi="仿宋_GB2312" w:cs="仿宋_GB2312" w:eastAsia="仿宋_GB2312"/>
              </w:rPr>
              <w:t>包含不限于：①供货产品信息；②生产能力；③运输方式；④供货组织架构与人员安排。 以上内容无缺项，专门针对本项目编制，符合本项目实际情况，内容全面详细，且条理清晰、准确、措施合理化能够 保障项目顺利实施的得20分。每小项缺项或者内容非针对于本项目的扣5分，每小项有一处缺陷的扣1分,扣完为止。（缺陷是指：内容不完整、条理不清晰、缺少关键点、方案不具体、针对性不强、内容无紧扣项目实际情况、表述前后不一致及其他不利于项目实施的情形等 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根据所提供的证明材料，配置和功能、技术指标和性能完全符合、响应招标文件要求，没有负偏离的得 10分。 注：投标人应根据技术要求提供佐证材料（不局限于检测报告、产品彩页、官网截图、说明书等）以证明参数的技术响应性，投标人自负因佐证材料不全而造成技术参数响应负偏离的后果。</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 配置</w:t>
            </w:r>
          </w:p>
        </w:tc>
        <w:tc>
          <w:tcPr>
            <w:tcW w:type="dxa" w:w="2492"/>
          </w:tcPr>
          <w:p>
            <w:pPr>
              <w:pStyle w:val="null3"/>
            </w:pPr>
            <w:r>
              <w:rPr>
                <w:rFonts w:ascii="仿宋_GB2312" w:hAnsi="仿宋_GB2312" w:cs="仿宋_GB2312" w:eastAsia="仿宋_GB2312"/>
              </w:rPr>
              <w:t>所投产品进货渠道正规，并能够提供包括不限于产品彩页、说明书、销售协议、代理协议、原厂授权等 相关资料。 以上内容无缺项，专门 针对本项目提供，符合本项目实际 情况得10分。内容有一处缺陷的扣2 分，扣完为止。（缺陷是指：提供 材料与本项目采购需求不相符、内 容不齐全或其他情形）。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 处理</w:t>
            </w:r>
          </w:p>
        </w:tc>
        <w:tc>
          <w:tcPr>
            <w:tcW w:type="dxa" w:w="2492"/>
          </w:tcPr>
          <w:p>
            <w:pPr>
              <w:pStyle w:val="null3"/>
            </w:pPr>
            <w:r>
              <w:rPr>
                <w:rFonts w:ascii="仿宋_GB2312" w:hAnsi="仿宋_GB2312" w:cs="仿宋_GB2312" w:eastAsia="仿宋_GB2312"/>
              </w:rPr>
              <w:t>包含但不限于：①对紧急或突发业务的应急保障措施；②应急响应时间；③出现问题应急人员安排。 以上内容无缺项，专门针对本项目编制，符合本项目实际情况，内容全面详细，且条理清晰、准确、措施合理化能够保障项目顺利实施的得9分。每小项缺项或者内容非针对于本项目的扣3分，每小项有一处 缺陷的扣1分，扣完为止。（缺陷是指：内容不完整、条理不清晰、 缺少关键点、方案不具体、针对性不强、内容 无紧扣项目实际情况、 表述前后不一致及其他不利于项目实施的情形等任意一种情形）。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投标人具有近三年（2022年11月至今）的类似项目业绩，每提供一个业绩得3分，本项最高得9分。 ( 合同复印件加盖投标人公章，以合同时间签订为准）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投标人近年完成的类似项目情况表.docx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包含但不限于：①售后服务内容；②售后服务响应时间与处理时间。以上内容无缺项，专门针对本项目 编制，符合本项目实际情况，内容全面详细，且条理清晰、准确、措施合理化能够保障项目顺利实施的得12分。每小项缺项或者内容非针对于本项目的扣6分，每小项有一处缺陷的扣2分，扣完为止。缺陷是指：内容不完整、条理不清晰 、缺少关键点、方案不具体、针对性不强、内容无紧扣项目实际情况 、表述前后不一致及其他不利于项目目标的实现、现有技术条件下不可能出现的情形等任意一种情形）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 的投标报价为评标基准价，其价格分为满分。其他投标人的价格分统一按照下列公式计算： 投标报价得分=(评标基准价／投标报价)×30%×100。 注：评标委员会认为投 标人的报价明显低于其他通过符合 性审查投标人的报价，有可能影响 服务质量或者不能诚信履约的，应 当要求其在合理的时间内提供书面说明，必要时提交相关证明材料；投标人不能证明其报价合理性的， 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详见附件：投标人近年完成的类似项目情况表.docx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