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版本号：HY-ZB-011-202620260227001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大荔县城区污水处理二期特许经营方案编制及资产评估服务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HY-ZB-011-2026</w:t>
      </w:r>
      <w:r>
        <w:br/>
      </w:r>
      <w:r>
        <w:br/>
      </w:r>
      <w:r>
        <w:br/>
      </w:r>
    </w:p>
    <w:p>
      <w:pPr>
        <w:pStyle w:val="null3"/>
        <w:jc w:val="center"/>
        <w:outlineLvl w:val="2"/>
      </w:pPr>
      <w:r>
        <w:rPr>
          <w:rFonts w:ascii="仿宋_GB2312" w:hAnsi="仿宋_GB2312" w:cs="仿宋_GB2312" w:eastAsia="仿宋_GB2312"/>
          <w:sz w:val="28"/>
          <w:b/>
        </w:rPr>
        <w:t>大荔县住房和城乡建设局</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大荔县住房和城乡建设局</w:t>
      </w:r>
      <w:r>
        <w:rPr>
          <w:rFonts w:ascii="仿宋_GB2312" w:hAnsi="仿宋_GB2312" w:cs="仿宋_GB2312" w:eastAsia="仿宋_GB2312"/>
        </w:rPr>
        <w:t>委托，拟对</w:t>
      </w:r>
      <w:r>
        <w:rPr>
          <w:rFonts w:ascii="仿宋_GB2312" w:hAnsi="仿宋_GB2312" w:cs="仿宋_GB2312" w:eastAsia="仿宋_GB2312"/>
        </w:rPr>
        <w:t>大荔县城区污水处理二期特许经营方案编制及资产评估服务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HY-ZB-011-2026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大荔县城区污水处理二期特许经营方案编制及资产评估服务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完成特许经营权转让实施方案编制服务及资产评估服务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采购包1（特许经营权转让实施方案编制服务）：属于专门面向中小企业采购。</w:t>
      </w:r>
    </w:p>
    <w:p>
      <w:pPr>
        <w:pStyle w:val="null3"/>
      </w:pPr>
      <w:r>
        <w:rPr>
          <w:rFonts w:ascii="仿宋_GB2312" w:hAnsi="仿宋_GB2312" w:cs="仿宋_GB2312" w:eastAsia="仿宋_GB2312"/>
        </w:rPr>
        <w:t>采购包2（特许经营权转让资产评估服务）：属于专门面向中小企业采购。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8、供应商资质要求：供应商需具备资产评估机构备案证明；拟派项目负责人须具有资产评估师证书，且在本单位注册。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大荔县西环路6号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0913-3261638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采购包1：325,000.00元</w:t>
            </w:r>
          </w:p>
          <w:p>
            <w:pPr>
              <w:pStyle w:val="null3"/>
            </w:pPr>
            <w:r>
              <w:rPr>
                <w:rFonts w:ascii="仿宋_GB2312" w:hAnsi="仿宋_GB2312" w:cs="仿宋_GB2312" w:eastAsia="仿宋_GB2312"/>
              </w:rPr>
              <w:t>采购包2：290,000.00元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大荔县住房和城乡建设局</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完成特许经营权转让实施方案编制服务及资产评估服务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特许经营权转让实施方案编制服务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特许经营权转让资产评估服务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标的名称：特许经营权转让实施方案编制服务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合同包</w:t>
            </w:r>
            <w:r>
              <w:rPr>
                <w:rFonts w:ascii="仿宋_GB2312" w:hAnsi="仿宋_GB2312" w:cs="仿宋_GB2312" w:eastAsia="仿宋_GB2312"/>
                <w:sz w:val="24"/>
              </w:rPr>
              <w:t>1：</w:t>
            </w:r>
            <w:r>
              <w:rPr>
                <w:rFonts w:ascii="仿宋_GB2312" w:hAnsi="仿宋_GB2312" w:cs="仿宋_GB2312" w:eastAsia="仿宋_GB2312"/>
                <w:sz w:val="24"/>
              </w:rPr>
              <w:t>核算城区污水处理厂二期扩容工程特许经营服务费，完成特许经营权转让实施方案编制服务。</w:t>
            </w:r>
          </w:p>
          <w:p>
            <w:pPr>
              <w:pStyle w:val="null3"/>
              <w:jc w:val="both"/>
            </w:pPr>
            <w:r>
              <w:rPr>
                <w:rFonts w:ascii="仿宋_GB2312" w:hAnsi="仿宋_GB2312" w:cs="仿宋_GB2312" w:eastAsia="仿宋_GB2312"/>
                <w:sz w:val="24"/>
                <w:b/>
              </w:rPr>
              <w:t>1）工作要求</w:t>
            </w:r>
          </w:p>
          <w:p>
            <w:pPr>
              <w:pStyle w:val="null3"/>
              <w:ind w:firstLine="480"/>
              <w:jc w:val="both"/>
            </w:pPr>
            <w:r>
              <w:rPr>
                <w:rFonts w:ascii="仿宋_GB2312" w:hAnsi="仿宋_GB2312" w:cs="仿宋_GB2312" w:eastAsia="仿宋_GB2312"/>
                <w:sz w:val="24"/>
              </w:rPr>
              <w:t>依据《基础设施和公用事业特许经营管理办法》、《关于规范实施政府和社会资本合作新机制的指导意见》、《</w:t>
            </w:r>
            <w:r>
              <w:rPr>
                <w:rFonts w:ascii="仿宋_GB2312" w:hAnsi="仿宋_GB2312" w:cs="仿宋_GB2312" w:eastAsia="仿宋_GB2312"/>
                <w:sz w:val="24"/>
              </w:rPr>
              <w:t>政府</w:t>
            </w:r>
            <w:r>
              <w:rPr>
                <w:rFonts w:ascii="仿宋_GB2312" w:hAnsi="仿宋_GB2312" w:cs="仿宋_GB2312" w:eastAsia="仿宋_GB2312"/>
                <w:sz w:val="24"/>
              </w:rPr>
              <w:t>和社会资本合作项目特许经营方案编写大纲（</w:t>
            </w:r>
            <w:r>
              <w:rPr>
                <w:rFonts w:ascii="仿宋_GB2312" w:hAnsi="仿宋_GB2312" w:cs="仿宋_GB2312" w:eastAsia="仿宋_GB2312"/>
                <w:sz w:val="24"/>
              </w:rPr>
              <w:t>2024年试行版）》发改办投资〔2024〕227号，开展项目</w:t>
            </w:r>
            <w:r>
              <w:rPr>
                <w:rFonts w:ascii="仿宋_GB2312" w:hAnsi="仿宋_GB2312" w:cs="仿宋_GB2312" w:eastAsia="仿宋_GB2312"/>
                <w:sz w:val="24"/>
              </w:rPr>
              <w:t>特许经营权转让实施方案</w:t>
            </w:r>
            <w:r>
              <w:rPr>
                <w:rFonts w:ascii="仿宋_GB2312" w:hAnsi="仿宋_GB2312" w:cs="仿宋_GB2312" w:eastAsia="仿宋_GB2312"/>
                <w:sz w:val="24"/>
              </w:rPr>
              <w:t>编制。</w:t>
            </w:r>
          </w:p>
          <w:p>
            <w:pPr>
              <w:pStyle w:val="null3"/>
              <w:jc w:val="both"/>
            </w:pPr>
            <w:r>
              <w:rPr>
                <w:rFonts w:ascii="仿宋_GB2312" w:hAnsi="仿宋_GB2312" w:cs="仿宋_GB2312" w:eastAsia="仿宋_GB2312"/>
                <w:sz w:val="24"/>
                <w:b/>
              </w:rPr>
              <w:t>2）工作内容</w:t>
            </w:r>
          </w:p>
          <w:p>
            <w:pPr>
              <w:pStyle w:val="null3"/>
              <w:ind w:firstLine="480"/>
              <w:jc w:val="both"/>
            </w:pPr>
            <w:r>
              <w:rPr>
                <w:rFonts w:ascii="仿宋_GB2312" w:hAnsi="仿宋_GB2312" w:cs="仿宋_GB2312" w:eastAsia="仿宋_GB2312"/>
                <w:sz w:val="24"/>
              </w:rPr>
              <w:t>编制项目特许经营权转让实施方案，依据《政府和社会资本合作项目特许经营方案编写大纲（</w:t>
            </w:r>
            <w:r>
              <w:rPr>
                <w:rFonts w:ascii="仿宋_GB2312" w:hAnsi="仿宋_GB2312" w:cs="仿宋_GB2312" w:eastAsia="仿宋_GB2312"/>
                <w:sz w:val="24"/>
              </w:rPr>
              <w:t>2024年试行版）》，方案内容一般包括项目概述、项目可行性分析、特许经营模式可行性论证、特许经营主要内容、结论和建议。</w:t>
            </w:r>
          </w:p>
          <w:p>
            <w:pPr>
              <w:pStyle w:val="null3"/>
              <w:ind w:firstLine="480"/>
              <w:jc w:val="both"/>
            </w:pPr>
            <w:r>
              <w:rPr>
                <w:rFonts w:ascii="仿宋_GB2312" w:hAnsi="仿宋_GB2312" w:cs="仿宋_GB2312" w:eastAsia="仿宋_GB2312"/>
                <w:sz w:val="24"/>
              </w:rPr>
              <w:t>编制工作开展前，需组织项目组成员进行基础资料收集与现场踏勘，并对获取到的资料信息进行分析，了解项目基本情况。方案需按照相关政策法规要求，结合项目实际情况，由专业人员编制完成，确保方案符合《基础设施和公用事业特许经营管理办法》和《关于规范实施政府和社会资本合作新机制的指导意见》要求，满足项目特许经营权转让的需要。</w:t>
            </w:r>
          </w:p>
          <w:p>
            <w:pPr>
              <w:pStyle w:val="null3"/>
              <w:jc w:val="both"/>
            </w:pPr>
            <w:r>
              <w:rPr>
                <w:rFonts w:ascii="仿宋_GB2312" w:hAnsi="仿宋_GB2312" w:cs="仿宋_GB2312" w:eastAsia="仿宋_GB2312"/>
                <w:sz w:val="24"/>
                <w:b/>
              </w:rPr>
              <w:t>3）质量要求</w:t>
            </w:r>
          </w:p>
          <w:p>
            <w:pPr>
              <w:pStyle w:val="null3"/>
            </w:pPr>
            <w:r>
              <w:rPr>
                <w:rFonts w:ascii="仿宋_GB2312" w:hAnsi="仿宋_GB2312" w:cs="仿宋_GB2312" w:eastAsia="仿宋_GB2312"/>
                <w:sz w:val="24"/>
              </w:rPr>
              <w:t>符合国家、省、市相关行业规范</w:t>
            </w:r>
            <w:r>
              <w:rPr>
                <w:rFonts w:ascii="仿宋_GB2312" w:hAnsi="仿宋_GB2312" w:cs="仿宋_GB2312" w:eastAsia="仿宋_GB2312"/>
                <w:sz w:val="24"/>
              </w:rPr>
              <w:t>“合格”标准，符合采购人要求</w:t>
            </w:r>
            <w:r>
              <w:rPr>
                <w:rFonts w:ascii="仿宋_GB2312" w:hAnsi="仿宋_GB2312" w:cs="仿宋_GB2312" w:eastAsia="仿宋_GB2312"/>
                <w:sz w:val="24"/>
              </w:rPr>
              <w:t>。</w:t>
            </w:r>
          </w:p>
          <w:p>
            <w:pPr>
              <w:pStyle w:val="null3"/>
            </w:pPr>
            <w:r>
              <w:rPr>
                <w:rFonts w:ascii="仿宋_GB2312" w:hAnsi="仿宋_GB2312" w:cs="仿宋_GB2312" w:eastAsia="仿宋_GB2312"/>
              </w:rPr>
              <w:t>4）成果要求</w:t>
            </w:r>
          </w:p>
          <w:p>
            <w:pPr>
              <w:pStyle w:val="null3"/>
            </w:pPr>
            <w:r>
              <w:rPr>
                <w:rFonts w:ascii="仿宋_GB2312" w:hAnsi="仿宋_GB2312" w:cs="仿宋_GB2312" w:eastAsia="仿宋_GB2312"/>
                <w:sz w:val="24"/>
              </w:rPr>
              <w:t>出具《大荔县城区污水处理二期特许经营实施方案》报告纸质版</w:t>
            </w:r>
            <w:r>
              <w:rPr>
                <w:rFonts w:ascii="仿宋_GB2312" w:hAnsi="仿宋_GB2312" w:cs="仿宋_GB2312" w:eastAsia="仿宋_GB2312"/>
                <w:sz w:val="24"/>
              </w:rPr>
              <w:t>4套，电子版1套。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标的名称：特许经营权转让资产评估服务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333333"/>
              </w:rPr>
              <w:t>合同包</w:t>
            </w:r>
            <w:r>
              <w:rPr>
                <w:rFonts w:ascii="仿宋_GB2312" w:hAnsi="仿宋_GB2312" w:cs="仿宋_GB2312" w:eastAsia="仿宋_GB2312"/>
                <w:sz w:val="24"/>
                <w:color w:val="333333"/>
              </w:rPr>
              <w:t>2：全面评估城区污水处理厂二期扩容工程特许经营转让所涉及的全部资产，完成特许经营权转让资产评估服务。</w:t>
            </w:r>
          </w:p>
          <w:p>
            <w:pPr>
              <w:pStyle w:val="null3"/>
              <w:jc w:val="both"/>
            </w:pPr>
            <w:r>
              <w:rPr>
                <w:rFonts w:ascii="仿宋_GB2312" w:hAnsi="仿宋_GB2312" w:cs="仿宋_GB2312" w:eastAsia="仿宋_GB2312"/>
                <w:sz w:val="24"/>
                <w:b/>
                <w:color w:val="333333"/>
              </w:rPr>
              <w:t>1）工作要求</w:t>
            </w:r>
          </w:p>
          <w:p>
            <w:pPr>
              <w:pStyle w:val="null3"/>
              <w:ind w:firstLine="480"/>
              <w:jc w:val="both"/>
            </w:pPr>
            <w:r>
              <w:rPr>
                <w:rFonts w:ascii="仿宋_GB2312" w:hAnsi="仿宋_GB2312" w:cs="仿宋_GB2312" w:eastAsia="仿宋_GB2312"/>
                <w:sz w:val="24"/>
                <w:color w:val="333333"/>
              </w:rPr>
              <w:t>对污水处理厂二期扩容工程特许经营权及其相关的资产投入进行评估，推进特许经营权转让事宜提供资产评估服务。</w:t>
            </w:r>
          </w:p>
          <w:p>
            <w:pPr>
              <w:pStyle w:val="null3"/>
              <w:jc w:val="both"/>
            </w:pPr>
            <w:r>
              <w:rPr>
                <w:rFonts w:ascii="仿宋_GB2312" w:hAnsi="仿宋_GB2312" w:cs="仿宋_GB2312" w:eastAsia="仿宋_GB2312"/>
                <w:sz w:val="24"/>
                <w:b/>
                <w:color w:val="333333"/>
              </w:rPr>
              <w:t>2）工作内容</w:t>
            </w:r>
          </w:p>
          <w:p>
            <w:pPr>
              <w:pStyle w:val="null3"/>
              <w:jc w:val="both"/>
            </w:pPr>
            <w:r>
              <w:rPr>
                <w:rFonts w:ascii="仿宋_GB2312" w:hAnsi="仿宋_GB2312" w:cs="仿宋_GB2312" w:eastAsia="仿宋_GB2312"/>
                <w:sz w:val="24"/>
                <w:color w:val="333333"/>
              </w:rPr>
              <w:t>①拟定本次资产评估服务的详细工作方案，收集被评估单位基础资料；核对核查与特许经营权相关资产投入财务资料、工程结算、决算资料，编制污水处理厂二期扩容工程相关资产明细表；</w:t>
            </w:r>
          </w:p>
          <w:p>
            <w:pPr>
              <w:pStyle w:val="null3"/>
              <w:jc w:val="both"/>
            </w:pPr>
            <w:r>
              <w:rPr>
                <w:rFonts w:ascii="仿宋_GB2312" w:hAnsi="仿宋_GB2312" w:cs="仿宋_GB2312" w:eastAsia="仿宋_GB2312"/>
                <w:sz w:val="24"/>
                <w:color w:val="333333"/>
              </w:rPr>
              <w:t>②对污水处理厂二期扩容工程相关资产进行现场勘查，核实重要资产的存在状态及使用情况；</w:t>
            </w:r>
          </w:p>
          <w:p>
            <w:pPr>
              <w:pStyle w:val="null3"/>
              <w:jc w:val="both"/>
            </w:pPr>
            <w:r>
              <w:rPr>
                <w:rFonts w:ascii="仿宋_GB2312" w:hAnsi="仿宋_GB2312" w:cs="仿宋_GB2312" w:eastAsia="仿宋_GB2312"/>
                <w:sz w:val="24"/>
                <w:color w:val="333333"/>
              </w:rPr>
              <w:t>③对污水处理厂二期扩容工程相关资产的市场价值进行估算，为后期污水处理厂二期扩容工程特许经营权转让提供成本基础；</w:t>
            </w:r>
          </w:p>
          <w:p>
            <w:pPr>
              <w:pStyle w:val="null3"/>
              <w:jc w:val="both"/>
            </w:pPr>
            <w:r>
              <w:rPr>
                <w:rFonts w:ascii="仿宋_GB2312" w:hAnsi="仿宋_GB2312" w:cs="仿宋_GB2312" w:eastAsia="仿宋_GB2312"/>
                <w:sz w:val="24"/>
                <w:color w:val="333333"/>
              </w:rPr>
              <w:t>④依据相关标准、选用合理方法对污水处理厂二期扩容工程特许经营权进行评估，出具相应评估报告。</w:t>
            </w:r>
          </w:p>
          <w:p>
            <w:pPr>
              <w:pStyle w:val="null3"/>
              <w:jc w:val="both"/>
            </w:pPr>
            <w:r>
              <w:rPr>
                <w:rFonts w:ascii="仿宋_GB2312" w:hAnsi="仿宋_GB2312" w:cs="仿宋_GB2312" w:eastAsia="仿宋_GB2312"/>
                <w:sz w:val="24"/>
                <w:b/>
                <w:color w:val="333333"/>
              </w:rPr>
              <w:t>3）质量要求</w:t>
            </w:r>
          </w:p>
          <w:p>
            <w:pPr>
              <w:pStyle w:val="null3"/>
              <w:jc w:val="left"/>
            </w:pPr>
            <w:r>
              <w:rPr>
                <w:rFonts w:ascii="仿宋_GB2312" w:hAnsi="仿宋_GB2312" w:cs="仿宋_GB2312" w:eastAsia="仿宋_GB2312"/>
                <w:sz w:val="24"/>
                <w:color w:val="333333"/>
              </w:rPr>
              <w:t>符合资产评估相关准则、相关法规及国资监管的相关要求，符合采购人要求。</w:t>
            </w:r>
          </w:p>
          <w:p>
            <w:pPr>
              <w:pStyle w:val="null3"/>
              <w:jc w:val="left"/>
            </w:pPr>
            <w:r>
              <w:rPr>
                <w:rFonts w:ascii="仿宋_GB2312" w:hAnsi="仿宋_GB2312" w:cs="仿宋_GB2312" w:eastAsia="仿宋_GB2312"/>
                <w:sz w:val="24"/>
                <w:color w:val="333333"/>
              </w:rPr>
              <w:t>4）成果要求</w:t>
            </w:r>
          </w:p>
          <w:p>
            <w:pPr>
              <w:pStyle w:val="null3"/>
            </w:pPr>
            <w:r>
              <w:rPr>
                <w:rFonts w:ascii="仿宋_GB2312" w:hAnsi="仿宋_GB2312" w:cs="仿宋_GB2312" w:eastAsia="仿宋_GB2312"/>
                <w:sz w:val="24"/>
                <w:color w:val="333333"/>
              </w:rPr>
              <w:t>出具《大荔县城区污水处理二期特许经营项目资产评估报告》纸质版</w:t>
            </w:r>
            <w:r>
              <w:rPr>
                <w:rFonts w:ascii="仿宋_GB2312" w:hAnsi="仿宋_GB2312" w:cs="仿宋_GB2312" w:eastAsia="仿宋_GB2312"/>
                <w:sz w:val="24"/>
                <w:color w:val="333333"/>
              </w:rPr>
              <w:t>4套，电子版1套。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供应商资格证明文件1包.docx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供应商资格证明文件1包.docx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供应商资格证明文件2包.docx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供应商资格证明文件2包.docx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供应商资格证明文件1包.docx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供应商资格证明文件1包.docx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供应商资格证明文件1包.docx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供应商资格证明文件1包.docx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供应商资格证明文件1包.docx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供应商资格证明文件1包.docx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供应商资格证明文件1包.docx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供应商资格证明文件2包.docx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六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供应商资格证明文件2包.docx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供应商资格证明文件2包.docx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供应商资格证明文件2包.docx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供应商资格证明文件2包.docx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供应商资格证明文件2包.docx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供应商资格证明文件2包.docx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供应商需具备资产评估机构备案证明；拟派项目负责人须具有资产评估师证书，且在本单位注册。</w:t>
            </w:r>
          </w:p>
        </w:tc>
        <w:tc>
          <w:tcPr>
            <w:tcW w:type="dxa" w:w="1661"/>
          </w:tcPr>
          <w:p>
            <w:pPr>
              <w:pStyle w:val="null3"/>
            </w:pPr>
            <w:r>
              <w:rPr>
                <w:rFonts w:ascii="仿宋_GB2312" w:hAnsi="仿宋_GB2312" w:cs="仿宋_GB2312" w:eastAsia="仿宋_GB2312"/>
              </w:rPr>
              <w:t>供应商资格证明文件2包.docx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服务内容及服务邀请应答表 供应商资格证明文件1包.docx 中小企业声明函 费用组成表.docx 商务应答表 业绩证明文件.docx 响应文件封面 残疾人福利性单位声明函 服务方案 标的清单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费用组成表.docx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供应商资格证明文件1包.docx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服务内容及服务邀请应答表 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供应商资格证明文件2包.docx 标的清单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费用组成表.docx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供应商资格证明文件2包.docx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1.项目负责人：具有相关专业中级职称得2分，具有相关专业高级及以上职称得3分，本项最多得3分。2.项目组成员（不含项目负责人）：每提供1名相关专业中级及以上职称人员得2分。本项最多得6分。注：须提供以上人员相关证书的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编制服务方案包括：①项目理解与分析；②服务目标；③资料清单；④实施方案编制依据；⑤工作流程；⑥工作方法；⑦工作内容；⑧报告大纲。方案符合采购文件要求的得32分，每有一项缺项或漏项扣4分，每有一项内容有缺陷扣1分，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供应商针对本项目的管理方案包括：①质量保障措施；②进度保障措施；③项目组成员工作职责；④廉洁及保密措施。以上内容详细完整不缺项得12分，每缺一项扣3分；每项有一处内容错误或缺陷的扣1分；每项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根据供应商提供的后续服务方案包括：①后续服务具体内容；②后续服务响应方式及时间；③后续服务人员情况及工作安排；④后续服务保障措施；上述内容完全满足项目要求的得20分，每缺少一项内容的扣5分，每有一项内容存在缺陷扣1分，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根据供应商提供的项目重点难点分析及合理化建议包括：①项目重点分析；②项目难点分析及解决方案；③合理化建议；上述内容完全满足项目要求的得15分，每缺少一项内容的扣5分，每有一项内容存在缺陷扣1分，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供应商自2023年1月1日（含）以来具有的类似项目业绩，每提供1个类似项目业绩的得1分，本项最多得2分。注：1.时间以合同签订时间为准。2.提供完整的合同复印件。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项目组成员（不含项目负责人）：每提供1名资产评估师人员得2分。本项最多得6分。注：须提供以上人员相关证书的复印件。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编制服务方案包括：①项目理解与分析；②服务目标；③评估方法；④评估流程；⑤服务实施计划安排；⑥工作内容；⑦报告大纲；⑧风险防控与应急处理。方案符合采购文件要求的得40分，每有一项缺项或漏项扣5分，每有一项内容有缺陷扣1分，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供应商针对本项目的管理方案包括：①质量保障措施；②进度保障措施；③项目组成员工作职责；④廉洁及保密措施。以上内容详细完整不缺项得10分，每缺一项扣2.5分；每项有一处内容错误或缺陷的扣1分；每项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方案内容缺少关键工序、内容前后矛盾、不可能实现；④方案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根据供应商提供的后续服务方案包括：①后续服务具体内容；②后续服务响应方式及时间；③后续服务人员情况及工作安排；④后续服务保障措施；上述内容完全满足项目要求的得20分，每缺少一项内容的扣5分，每有一项内容存在缺陷扣1分，扣完为止。缺陷指：①方案内容存在与项目明显无关的文字内容，与本项目要求不一致，套用其他项目方案，内容前后矛盾或不一致；②方案中项目名称、实施地点、规模、服务期、涉及的规范及标准错误，不符合相关的国家、行业标准，涉及的规范及标准错误；③资产评估服务内容缺少关键工序、内容前后矛盾、不可能实现；④资产评估服务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根据供应商提供的项目重点难点分析及合理化建议包括：①项目重点分析；②项目难点分析及解决方案；③合理化建议；上述内容完全满足项目要求的得12分，每缺少一项内容的扣4分，每有一项内容存在缺陷扣1分，扣完为止。缺陷指：①资产评估服务内容存在与项目明显无关的文字内容，与本项目要求不一致，套用其他项目资产评估服务，内容前后矛盾或不一致；②资产评估服务中项目名称、实施地点、规模、服务期、涉及的规范及标准错误，不符合相关的国家、行业标准，涉及的规范及标准错误；③资产评估服务内容缺少关键工序、内容前后矛盾、不可能实现；④资产评估服务内容有不符合本项目采购需求，内容不切合项目背景，没有具体详细的阐述；⑤不适用项目实际情况的情形、凭空编造、笼统描述、内容无法连贯；最终以评审专家结合项目实际情况和响应文件独立评审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供应商自2023年1月1日（含）以来具有的类似项目业绩，每提供1个类似项目业绩的得1分，本项最多得2分。注：1.时间以合同签订时间为准。2.提供完整的合同复印件。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满足磋商文件实质性要求且最终报价最低的供应商的价格为磋商基准价，其价格分为满分10分。 磋商报价得分=（磋商基准价/最终磋商报价）×价格权值×100% 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详见附件：供应商资格证明文件1包.docx</w:t>
      </w:r>
    </w:p>
    <w:p>
      <w:pPr>
        <w:pStyle w:val="null3"/>
        <w:ind w:firstLine="960"/>
      </w:pPr>
      <w:r>
        <w:rPr>
          <w:rFonts w:ascii="仿宋_GB2312" w:hAnsi="仿宋_GB2312" w:cs="仿宋_GB2312" w:eastAsia="仿宋_GB2312"/>
        </w:rPr>
        <w:t>详见附件：人员配备一览表.docx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详见附件：供应商资格证明文件2包.docx</w:t>
      </w:r>
    </w:p>
    <w:p>
      <w:pPr>
        <w:pStyle w:val="null3"/>
        <w:ind w:firstLine="960"/>
      </w:pPr>
      <w:r>
        <w:rPr>
          <w:rFonts w:ascii="仿宋_GB2312" w:hAnsi="仿宋_GB2312" w:cs="仿宋_GB2312" w:eastAsia="仿宋_GB2312"/>
        </w:rPr>
        <w:t>详见附件：人员配备一览表.docx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