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版本号：HY-ZB-006-202620260207001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大荔经济技术开发区化工园区“竞争力提升、智慧化分级”评价服务项目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HY-ZB-006-2026</w:t>
      </w:r>
      <w:r>
        <w:br/>
      </w:r>
      <w:r>
        <w:br/>
      </w:r>
      <w:r>
        <w:br/>
      </w:r>
    </w:p>
    <w:p>
      <w:pPr>
        <w:pStyle w:val="null3"/>
        <w:jc w:val="center"/>
        <w:outlineLvl w:val="2"/>
      </w:pPr>
      <w:r>
        <w:rPr>
          <w:rFonts w:ascii="仿宋_GB2312" w:hAnsi="仿宋_GB2312" w:cs="仿宋_GB2312" w:eastAsia="仿宋_GB2312"/>
          <w:sz w:val="28"/>
          <w:b/>
        </w:rPr>
        <w:t>大荔经济技术开发区管委会</w:t>
      </w:r>
    </w:p>
    <w:p>
      <w:pPr>
        <w:pStyle w:val="null3"/>
        <w:jc w:val="center"/>
        <w:outlineLvl w:val="2"/>
      </w:pPr>
      <w:r>
        <w:rPr>
          <w:rFonts w:ascii="仿宋_GB2312" w:hAnsi="仿宋_GB2312" w:cs="仿宋_GB2312" w:eastAsia="仿宋_GB2312"/>
          <w:sz w:val="28"/>
          <w:b/>
        </w:rPr>
        <w:t>陕西翰元工程咨询有限公司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陕西翰元工程咨询有限公司</w:t>
      </w:r>
      <w:r>
        <w:rPr>
          <w:rFonts w:ascii="仿宋_GB2312" w:hAnsi="仿宋_GB2312" w:cs="仿宋_GB2312" w:eastAsia="仿宋_GB2312"/>
        </w:rPr>
        <w:t>（以下简称“代理机构”）受</w:t>
      </w:r>
      <w:r>
        <w:rPr>
          <w:rFonts w:ascii="仿宋_GB2312" w:hAnsi="仿宋_GB2312" w:cs="仿宋_GB2312" w:eastAsia="仿宋_GB2312"/>
        </w:rPr>
        <w:t>大荔经济技术开发区管委会</w:t>
      </w:r>
      <w:r>
        <w:rPr>
          <w:rFonts w:ascii="仿宋_GB2312" w:hAnsi="仿宋_GB2312" w:cs="仿宋_GB2312" w:eastAsia="仿宋_GB2312"/>
        </w:rPr>
        <w:t>委托，拟对</w:t>
      </w:r>
      <w:r>
        <w:rPr>
          <w:rFonts w:ascii="仿宋_GB2312" w:hAnsi="仿宋_GB2312" w:cs="仿宋_GB2312" w:eastAsia="仿宋_GB2312"/>
        </w:rPr>
        <w:t>大荔经济技术开发区化工园区“竞争力提升、智慧化分级”评价服务项目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HY-ZB-006-2026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大荔经济技术开发区化工园区“竞争力提升、智慧化分级”评价服务项目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大荔经济技术开发区化工园区“竞争力提升、智慧化分级”评价报告编制。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采购包1（大荔经济技术开发区化工园区“竞争力提升、智慧化分级”评价服务项目）：属于专门面向中小企业采购。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1、具有独立承担民事责任的能力：具有独立承担民事责任的能力的企业法人、其他组织或者自然人。</w:t>
      </w:r>
    </w:p>
    <w:p>
      <w:pPr>
        <w:pStyle w:val="null3"/>
      </w:pPr>
      <w:r>
        <w:rPr>
          <w:rFonts w:ascii="仿宋_GB2312" w:hAnsi="仿宋_GB2312" w:cs="仿宋_GB2312" w:eastAsia="仿宋_GB2312"/>
        </w:rPr>
        <w:t>2、供应商应提供健全的财务会计制度的证明材料：1.提供2024年度或2025年度完整审计报告，成立时间至提交投标文件截止时间不足1年的提供开标前六个月内基本存款账户开户银行出具的资信证明。2.社会保障资金缴纳证明：提供投标文件递交截止时间前12个月内任意一个月的社保缴费凭据或社保机构开具的社会保险参保缴费情况证明；依法不需要缴纳社会保障资金的供应商应提供相关文件证明。3.税收缴纳证明：提供投标文件递交截止 时间前12个月内任意一个月的缴费凭据；依法免税的应提供相关文件证明。供应商需在项目电子化交易系统中按要求上传相应证明文件并进行电子签章。供应商需在项目电子化交易系统中按要求上传相应证明文件并进行电子签章。</w:t>
      </w:r>
    </w:p>
    <w:p>
      <w:pPr>
        <w:pStyle w:val="null3"/>
      </w:pPr>
      <w:r>
        <w:rPr>
          <w:rFonts w:ascii="仿宋_GB2312" w:hAnsi="仿宋_GB2312" w:cs="仿宋_GB2312" w:eastAsia="仿宋_GB2312"/>
        </w:rPr>
        <w:t>3、具有履行合同的声明：提供具有履行本合同所必需的设备和专业技术能力的说明或承诺；</w:t>
      </w:r>
    </w:p>
    <w:p>
      <w:pPr>
        <w:pStyle w:val="null3"/>
      </w:pPr>
      <w:r>
        <w:rPr>
          <w:rFonts w:ascii="仿宋_GB2312" w:hAnsi="仿宋_GB2312" w:cs="仿宋_GB2312" w:eastAsia="仿宋_GB2312"/>
        </w:rPr>
        <w:t>4、无重大违法记录书面声明：参加政府采购活动前三年内在经营活动中无重大违法记录的书面声明；</w:t>
      </w:r>
    </w:p>
    <w:p>
      <w:pPr>
        <w:pStyle w:val="null3"/>
      </w:pPr>
      <w:r>
        <w:rPr>
          <w:rFonts w:ascii="仿宋_GB2312" w:hAnsi="仿宋_GB2312" w:cs="仿宋_GB2312" w:eastAsia="仿宋_GB2312"/>
        </w:rPr>
        <w:t>5、法定代表人授权书或法定代表人身份证明书：为企业法定代表人出具，信息真实合法有效，附有法定代表人和被委托人身份证复印件且人证相符（若法定代表人直接参加投标会则须提供法定代表人身份证明及法定代表人身份证复印件）；</w:t>
      </w:r>
    </w:p>
    <w:p>
      <w:pPr>
        <w:pStyle w:val="null3"/>
      </w:pPr>
      <w:r>
        <w:rPr>
          <w:rFonts w:ascii="仿宋_GB2312" w:hAnsi="仿宋_GB2312" w:cs="仿宋_GB2312" w:eastAsia="仿宋_GB2312"/>
        </w:rPr>
        <w:t>6、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7、管理关系：单位负责人为同一人或者存在直接控股、管理关系的不同供应商，不得参加同一合同项下的政府采购活动。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大荔经济技术开发区管委会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陕西省大荔县官池镇街道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大荔经济技术开发区管委会经办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0913-3661588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陕西翰元工程咨询有限公司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大荔县西城街道办西二环北段551号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李沙沙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13093977939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大荔县政府采购管理股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杨俊明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0913-3256202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采购包1：510,000.00元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计委关于印发&lt;招标代理服务收费管理暂行办法&gt;的通知》（计价格【2002】1980号）及《国家发改委关于降低部分建设项目收费标准规范收费行为等有关问题的通知》（发改价格[2011]534号）规定按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大荔经济技术开发区管委会</w:t>
      </w:r>
      <w:r>
        <w:rPr>
          <w:rFonts w:ascii="仿宋_GB2312" w:hAnsi="仿宋_GB2312" w:cs="仿宋_GB2312" w:eastAsia="仿宋_GB2312"/>
        </w:rPr>
        <w:t>和</w:t>
      </w:r>
      <w:r>
        <w:rPr>
          <w:rFonts w:ascii="仿宋_GB2312" w:hAnsi="仿宋_GB2312" w:cs="仿宋_GB2312" w:eastAsia="仿宋_GB2312"/>
        </w:rPr>
        <w:t>陕西翰元工程咨询有限公司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大荔经济技术开发区管委会</w:t>
      </w:r>
      <w:r>
        <w:rPr>
          <w:rFonts w:ascii="仿宋_GB2312" w:hAnsi="仿宋_GB2312" w:cs="仿宋_GB2312" w:eastAsia="仿宋_GB2312"/>
        </w:rPr>
        <w:t>负责解释。除上述磋商文件内容，其他内容由</w:t>
      </w:r>
      <w:r>
        <w:rPr>
          <w:rFonts w:ascii="仿宋_GB2312" w:hAnsi="仿宋_GB2312" w:cs="仿宋_GB2312" w:eastAsia="仿宋_GB2312"/>
        </w:rPr>
        <w:t>陕西翰元工程咨询有限公司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大荔经济技术开发区管委会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陕西翰元工程咨询有限公司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各项具体工作的质量标准和作业规范，按国家标准、行业标准、有关技术规范要求及招标文件、投标文件规定的内容执行。乙方提供的成果资料符合国家标准、行业标准以及有关技术规范要求。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陕西翰元工程咨询有限公司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陕西翰元工程咨询有限公司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陕西翰元工程咨询有限公司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联系人：李沙沙</w:t>
      </w:r>
    </w:p>
    <w:p>
      <w:pPr>
        <w:pStyle w:val="null3"/>
      </w:pPr>
      <w:r>
        <w:rPr>
          <w:rFonts w:ascii="仿宋_GB2312" w:hAnsi="仿宋_GB2312" w:cs="仿宋_GB2312" w:eastAsia="仿宋_GB2312"/>
        </w:rPr>
        <w:t>联系电话：13093977939</w:t>
      </w:r>
    </w:p>
    <w:p>
      <w:pPr>
        <w:pStyle w:val="null3"/>
      </w:pPr>
      <w:r>
        <w:rPr>
          <w:rFonts w:ascii="仿宋_GB2312" w:hAnsi="仿宋_GB2312" w:cs="仿宋_GB2312" w:eastAsia="仿宋_GB2312"/>
        </w:rPr>
        <w:t>地址：大荔县西城街道办西二环北段551号</w:t>
      </w:r>
    </w:p>
    <w:p>
      <w:pPr>
        <w:pStyle w:val="null3"/>
      </w:pPr>
      <w:r>
        <w:rPr>
          <w:rFonts w:ascii="仿宋_GB2312" w:hAnsi="仿宋_GB2312" w:cs="仿宋_GB2312" w:eastAsia="仿宋_GB2312"/>
        </w:rPr>
        <w:t>邮编：715100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大荔经济技术开发区化工园区“竞争力提升、智慧化分级”评价报告编制。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510,000.00</w:t>
      </w:r>
    </w:p>
    <w:p>
      <w:pPr>
        <w:pStyle w:val="null3"/>
      </w:pPr>
      <w:r>
        <w:rPr>
          <w:rFonts w:ascii="仿宋_GB2312" w:hAnsi="仿宋_GB2312" w:cs="仿宋_GB2312" w:eastAsia="仿宋_GB2312"/>
        </w:rPr>
        <w:t>采购包最高限价（元）: 510,000.00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大荔经济技术开发区化工园区竞争力提升智慧化分级评价服务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510,000.00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标的名称：大荔经济技术开发区化工园区竞争力提升智慧化分级评价服务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一、工作要求</w:t>
            </w:r>
          </w:p>
          <w:p>
            <w:pPr>
              <w:pStyle w:val="null3"/>
              <w:jc w:val="both"/>
            </w:pPr>
            <w:r>
              <w:rPr>
                <w:rFonts w:ascii="仿宋_GB2312" w:hAnsi="仿宋_GB2312" w:cs="仿宋_GB2312" w:eastAsia="仿宋_GB2312"/>
                <w:sz w:val="21"/>
              </w:rPr>
              <w:t>依据《关于推进化工园区规范建设和高质量发展有关工作的通知》（工信厅联原函）〔</w:t>
            </w:r>
            <w:r>
              <w:rPr>
                <w:rFonts w:ascii="仿宋_GB2312" w:hAnsi="仿宋_GB2312" w:cs="仿宋_GB2312" w:eastAsia="仿宋_GB2312"/>
                <w:sz w:val="21"/>
              </w:rPr>
              <w:t>2025</w:t>
            </w:r>
            <w:r>
              <w:rPr>
                <w:rFonts w:ascii="仿宋_GB2312" w:hAnsi="仿宋_GB2312" w:cs="仿宋_GB2312" w:eastAsia="仿宋_GB2312"/>
                <w:sz w:val="21"/>
              </w:rPr>
              <w:t>〕</w:t>
            </w:r>
            <w:r>
              <w:rPr>
                <w:rFonts w:ascii="仿宋_GB2312" w:hAnsi="仿宋_GB2312" w:cs="仿宋_GB2312" w:eastAsia="仿宋_GB2312"/>
                <w:sz w:val="21"/>
              </w:rPr>
              <w:t>317</w:t>
            </w:r>
            <w:r>
              <w:rPr>
                <w:rFonts w:ascii="仿宋_GB2312" w:hAnsi="仿宋_GB2312" w:cs="仿宋_GB2312" w:eastAsia="仿宋_GB2312"/>
                <w:sz w:val="21"/>
              </w:rPr>
              <w:t>号），已认定化工园区对照《化工园区竞争力评价导则》（</w:t>
            </w:r>
            <w:r>
              <w:rPr>
                <w:rFonts w:ascii="仿宋_GB2312" w:hAnsi="仿宋_GB2312" w:cs="仿宋_GB2312" w:eastAsia="仿宋_GB2312"/>
                <w:sz w:val="21"/>
              </w:rPr>
              <w:t>HG/T6312-2024</w:t>
            </w:r>
            <w:r>
              <w:rPr>
                <w:rFonts w:ascii="仿宋_GB2312" w:hAnsi="仿宋_GB2312" w:cs="仿宋_GB2312" w:eastAsia="仿宋_GB2312"/>
                <w:sz w:val="21"/>
              </w:rPr>
              <w:t>）、《化工园区智慧化评价导则》（</w:t>
            </w:r>
            <w:r>
              <w:rPr>
                <w:rFonts w:ascii="仿宋_GB2312" w:hAnsi="仿宋_GB2312" w:cs="仿宋_GB2312" w:eastAsia="仿宋_GB2312"/>
                <w:sz w:val="21"/>
              </w:rPr>
              <w:t>HG/T6313-2024</w:t>
            </w:r>
            <w:r>
              <w:rPr>
                <w:rFonts w:ascii="仿宋_GB2312" w:hAnsi="仿宋_GB2312" w:cs="仿宋_GB2312" w:eastAsia="仿宋_GB2312"/>
                <w:sz w:val="21"/>
              </w:rPr>
              <w:t>），开展开展竞争力、智慧化分级评价。</w:t>
            </w:r>
          </w:p>
          <w:p>
            <w:pPr>
              <w:pStyle w:val="null3"/>
              <w:jc w:val="both"/>
            </w:pPr>
            <w:r>
              <w:rPr>
                <w:rFonts w:ascii="仿宋_GB2312" w:hAnsi="仿宋_GB2312" w:cs="仿宋_GB2312" w:eastAsia="仿宋_GB2312"/>
                <w:sz w:val="21"/>
              </w:rPr>
              <w:t>二、工作内容</w:t>
            </w:r>
          </w:p>
          <w:p>
            <w:pPr>
              <w:pStyle w:val="null3"/>
              <w:jc w:val="both"/>
            </w:pPr>
            <w:r>
              <w:rPr>
                <w:rFonts w:ascii="仿宋_GB2312" w:hAnsi="仿宋_GB2312" w:cs="仿宋_GB2312" w:eastAsia="仿宋_GB2312"/>
                <w:sz w:val="21"/>
              </w:rPr>
              <w:t>内容包括化工园区基本情况、自评组织实施情况、总体评价及等级，分析报告，亮点做法、短板不足，改进提升方向及建议、评分表、佐证资料。竞争力自评报告和智慧化自评报告应分别编制。</w:t>
            </w:r>
          </w:p>
          <w:p>
            <w:pPr>
              <w:pStyle w:val="null3"/>
              <w:jc w:val="both"/>
            </w:pPr>
            <w:r>
              <w:rPr>
                <w:rFonts w:ascii="仿宋_GB2312" w:hAnsi="仿宋_GB2312" w:cs="仿宋_GB2312" w:eastAsia="仿宋_GB2312"/>
                <w:sz w:val="21"/>
              </w:rPr>
              <w:t>《化工园区竞争力评价导则》和《化工园区智慧化评价导则》分别包含</w:t>
            </w:r>
            <w:r>
              <w:rPr>
                <w:rFonts w:ascii="仿宋_GB2312" w:hAnsi="仿宋_GB2312" w:cs="仿宋_GB2312" w:eastAsia="仿宋_GB2312"/>
                <w:sz w:val="21"/>
              </w:rPr>
              <w:t>36</w:t>
            </w:r>
            <w:r>
              <w:rPr>
                <w:rFonts w:ascii="仿宋_GB2312" w:hAnsi="仿宋_GB2312" w:cs="仿宋_GB2312" w:eastAsia="仿宋_GB2312"/>
                <w:sz w:val="21"/>
              </w:rPr>
              <w:t>项和</w:t>
            </w:r>
            <w:r>
              <w:rPr>
                <w:rFonts w:ascii="仿宋_GB2312" w:hAnsi="仿宋_GB2312" w:cs="仿宋_GB2312" w:eastAsia="仿宋_GB2312"/>
                <w:sz w:val="21"/>
              </w:rPr>
              <w:t>46</w:t>
            </w:r>
            <w:r>
              <w:rPr>
                <w:rFonts w:ascii="仿宋_GB2312" w:hAnsi="仿宋_GB2312" w:cs="仿宋_GB2312" w:eastAsia="仿宋_GB2312"/>
                <w:sz w:val="21"/>
              </w:rPr>
              <w:t>项评价指标。“两个导则”涉及内容和专业领域众多，在指标基础信息收集、梳理、分析、计算和评价过程中需具备各类</w:t>
            </w:r>
            <w:r>
              <w:rPr>
                <w:rFonts w:ascii="仿宋_GB2312" w:hAnsi="仿宋_GB2312" w:cs="仿宋_GB2312" w:eastAsia="仿宋_GB2312"/>
                <w:sz w:val="21"/>
              </w:rPr>
              <w:t>(</w:t>
            </w:r>
            <w:r>
              <w:rPr>
                <w:rFonts w:ascii="仿宋_GB2312" w:hAnsi="仿宋_GB2312" w:cs="仿宋_GB2312" w:eastAsia="仿宋_GB2312"/>
                <w:sz w:val="21"/>
              </w:rPr>
              <w:t>如信息化、安全、环保、工艺、工程经济等</w:t>
            </w:r>
            <w:r>
              <w:rPr>
                <w:rFonts w:ascii="仿宋_GB2312" w:hAnsi="仿宋_GB2312" w:cs="仿宋_GB2312" w:eastAsia="仿宋_GB2312"/>
                <w:sz w:val="21"/>
              </w:rPr>
              <w:t>)</w:t>
            </w:r>
            <w:r>
              <w:rPr>
                <w:rFonts w:ascii="仿宋_GB2312" w:hAnsi="仿宋_GB2312" w:cs="仿宋_GB2312" w:eastAsia="仿宋_GB2312"/>
                <w:sz w:val="21"/>
              </w:rPr>
              <w:t>专业人员完成。为园区精准定位竞争力与智慧化发展水平，清晰理短板弱项，确保园区评价结果符合《关于推进化工园区规范建设和高质量发展有关工作的通知》要求，顺利通过审核并完成上报。支撑园区后续创新驱动、绿色低碳、智慧化转型等工作，提升园区规范建设与高质量发展能力。</w:t>
            </w:r>
          </w:p>
          <w:p>
            <w:pPr>
              <w:pStyle w:val="null3"/>
              <w:jc w:val="both"/>
            </w:pPr>
            <w:r>
              <w:rPr>
                <w:rFonts w:ascii="仿宋_GB2312" w:hAnsi="仿宋_GB2312" w:cs="仿宋_GB2312" w:eastAsia="仿宋_GB2312"/>
                <w:sz w:val="21"/>
              </w:rPr>
              <w:t>三、成果要求</w:t>
            </w:r>
          </w:p>
          <w:p>
            <w:pPr>
              <w:pStyle w:val="null3"/>
              <w:jc w:val="both"/>
            </w:pPr>
            <w:r>
              <w:rPr>
                <w:rFonts w:ascii="仿宋_GB2312" w:hAnsi="仿宋_GB2312" w:cs="仿宋_GB2312" w:eastAsia="仿宋_GB2312"/>
                <w:sz w:val="21"/>
              </w:rPr>
              <w:t>完成两份高质量评价报告，即《化工园区竞争力评价报告》《化工园区智慧化评价报告》，报告内容完全契合《化工园区竞争力评价导则》《化工园区智慧化评价导则》的</w:t>
            </w:r>
            <w:r>
              <w:rPr>
                <w:rFonts w:ascii="仿宋_GB2312" w:hAnsi="仿宋_GB2312" w:cs="仿宋_GB2312" w:eastAsia="仿宋_GB2312"/>
                <w:sz w:val="21"/>
              </w:rPr>
              <w:t>36</w:t>
            </w:r>
            <w:r>
              <w:rPr>
                <w:rFonts w:ascii="仿宋_GB2312" w:hAnsi="仿宋_GB2312" w:cs="仿宋_GB2312" w:eastAsia="仿宋_GB2312"/>
                <w:sz w:val="21"/>
              </w:rPr>
              <w:t>项、</w:t>
            </w:r>
            <w:r>
              <w:rPr>
                <w:rFonts w:ascii="仿宋_GB2312" w:hAnsi="仿宋_GB2312" w:cs="仿宋_GB2312" w:eastAsia="仿宋_GB2312"/>
                <w:sz w:val="21"/>
              </w:rPr>
              <w:t>46</w:t>
            </w:r>
            <w:r>
              <w:rPr>
                <w:rFonts w:ascii="仿宋_GB2312" w:hAnsi="仿宋_GB2312" w:cs="仿宋_GB2312" w:eastAsia="仿宋_GB2312"/>
                <w:sz w:val="21"/>
              </w:rPr>
              <w:t>项评价指标要求。</w:t>
            </w:r>
          </w:p>
          <w:p>
            <w:pPr>
              <w:pStyle w:val="null3"/>
              <w:jc w:val="both"/>
            </w:pPr>
            <w:r>
              <w:rPr>
                <w:rFonts w:ascii="仿宋_GB2312" w:hAnsi="仿宋_GB2312" w:cs="仿宋_GB2312" w:eastAsia="仿宋_GB2312"/>
                <w:sz w:val="21"/>
              </w:rPr>
              <w:t>四、质量要求</w:t>
            </w:r>
          </w:p>
          <w:p>
            <w:pPr>
              <w:pStyle w:val="null3"/>
            </w:pPr>
            <w:r>
              <w:rPr>
                <w:rFonts w:ascii="仿宋_GB2312" w:hAnsi="仿宋_GB2312" w:cs="仿宋_GB2312" w:eastAsia="仿宋_GB2312"/>
                <w:sz w:val="21"/>
              </w:rPr>
              <w:t>符合国家、省、市相关行业规范</w:t>
            </w:r>
            <w:r>
              <w:rPr>
                <w:rFonts w:ascii="仿宋_GB2312" w:hAnsi="仿宋_GB2312" w:cs="仿宋_GB2312" w:eastAsia="仿宋_GB2312"/>
                <w:sz w:val="21"/>
              </w:rPr>
              <w:t>“合格”标准，符合采购人要求。</w:t>
            </w:r>
          </w:p>
          <w:p>
            <w:pPr>
              <w:pStyle w:val="null3"/>
            </w:pPr>
            <w:r>
              <w:rPr>
                <w:rFonts w:ascii="仿宋_GB2312" w:hAnsi="仿宋_GB2312" w:cs="仿宋_GB2312" w:eastAsia="仿宋_GB2312"/>
              </w:rPr>
              <w:t>五、服务期：30日历天</w:t>
            </w:r>
          </w:p>
          <w:p>
            <w:pPr>
              <w:pStyle w:val="null3"/>
            </w:pPr>
            <w:r>
              <w:rPr>
                <w:rFonts w:ascii="仿宋_GB2312" w:hAnsi="仿宋_GB2312" w:cs="仿宋_GB2312" w:eastAsia="仿宋_GB2312"/>
              </w:rPr>
              <w:t>六、成果要求：纸质文件5套，电子版文件1套</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满足项目的服务需求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满足项目的服务需求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大荔经济技术开发区管委会</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验收结论合格</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报告编制完成并通过专家评审后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提交最终成果报告后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采购人因未及时向中标人提供项目启动所需资料造成服务期延误，每延误1日则本合同服务周期限延长1日，以此类推；因资料真实性给中标人造成损失和产生相关连带责任时，采购人除按中标人要求进行赔偿外还需承担因连带责任产生的所有责任。 （二）因中标人原因造成服务期延误（自然灾害、疫情等不可抗力除外），采购人有权从未付款项中按每日3‰合同价款扣除违约金，此违约以30日为限。</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具有独立承担民事责任的能力的企业法人、其他组织或者自然人。</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1.提供2024年度或2025年度完整审计报告，成立时间至提交投标文件截止时间不足1年的提供开标前六个月内基本存款账户开户银行出具的资信证明。2.社会保障资金缴纳证明：提供投标文件递交截止时间前12个月内任意一个月的社保缴费凭据或社保机构开具的社会保险参保缴费情况证明；依法不需要缴纳社会保障资金的供应商应提供相关文件证明。3.税收缴纳证明：提供投标文件递交截止 时间前12个月内任意一个月的缴费凭据；依法免税的应提供相关文件证明。供应商需在项目电子化交易系统中按要求上传相应证明文件并进行电子签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具有履行合同的声明</w:t>
            </w:r>
          </w:p>
        </w:tc>
        <w:tc>
          <w:tcPr>
            <w:tcW w:type="dxa" w:w="3322"/>
          </w:tcPr>
          <w:p>
            <w:pPr>
              <w:pStyle w:val="null3"/>
            </w:pPr>
            <w:r>
              <w:rPr>
                <w:rFonts w:ascii="仿宋_GB2312" w:hAnsi="仿宋_GB2312" w:cs="仿宋_GB2312" w:eastAsia="仿宋_GB2312"/>
              </w:rPr>
              <w:t>提供具有履行本合同所必需的设备和专业技术能力的说明或承诺；</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参加政府采购活动前三年内在经营活动中无重大违法记录的书面声明；</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法定代表人授权书或法定代表人身份证明书</w:t>
            </w:r>
          </w:p>
        </w:tc>
        <w:tc>
          <w:tcPr>
            <w:tcW w:type="dxa" w:w="3322"/>
          </w:tcPr>
          <w:p>
            <w:pPr>
              <w:pStyle w:val="null3"/>
            </w:pPr>
            <w:r>
              <w:rPr>
                <w:rFonts w:ascii="仿宋_GB2312" w:hAnsi="仿宋_GB2312" w:cs="仿宋_GB2312" w:eastAsia="仿宋_GB2312"/>
              </w:rPr>
              <w:t>为企业法定代表人出具，信息真实合法有效，附有法定代表人和被委托人身份证复印件且人证相符（若法定代表人直接参加投标会则须提供法定代表人身份证明及法定代表人身份证复印件）；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供应商资格证明文件.docx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费用组成表.docx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按竞争性磋商文件要求进行签章</w:t>
            </w:r>
          </w:p>
        </w:tc>
        <w:tc>
          <w:tcPr>
            <w:tcW w:type="dxa" w:w="1661"/>
          </w:tcPr>
          <w:p>
            <w:pPr>
              <w:pStyle w:val="null3"/>
            </w:pPr>
            <w:r>
              <w:rPr>
                <w:rFonts w:ascii="仿宋_GB2312" w:hAnsi="仿宋_GB2312" w:cs="仿宋_GB2312" w:eastAsia="仿宋_GB2312"/>
              </w:rPr>
              <w:t>服务内容及服务邀请应答表 中小企业声明函 费用组成表.docx 商务应答表 业绩证明文件.docx 响应文件封面 残疾人福利性单位声明函 服务方案 标的清单 供应商资格证明文件.docx 人员配备一览表.docx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磋商报价没有超出最高限价</w:t>
            </w:r>
          </w:p>
        </w:tc>
        <w:tc>
          <w:tcPr>
            <w:tcW w:type="dxa" w:w="1661"/>
          </w:tcPr>
          <w:p>
            <w:pPr>
              <w:pStyle w:val="null3"/>
            </w:pPr>
            <w:r>
              <w:rPr>
                <w:rFonts w:ascii="仿宋_GB2312" w:hAnsi="仿宋_GB2312" w:cs="仿宋_GB2312" w:eastAsia="仿宋_GB2312"/>
              </w:rPr>
              <w:t>响应文件封面 费用组成表.docx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从提交竞争性磋商响应文件的截止之日起不少于90日历日</w:t>
            </w:r>
          </w:p>
        </w:tc>
        <w:tc>
          <w:tcPr>
            <w:tcW w:type="dxa" w:w="1661"/>
          </w:tcPr>
          <w:p>
            <w:pPr>
              <w:pStyle w:val="null3"/>
            </w:pPr>
            <w:r>
              <w:rPr>
                <w:rFonts w:ascii="仿宋_GB2312" w:hAnsi="仿宋_GB2312" w:cs="仿宋_GB2312" w:eastAsia="仿宋_GB2312"/>
              </w:rPr>
              <w:t>响应文件封面 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文件响应情况</w:t>
            </w:r>
          </w:p>
        </w:tc>
        <w:tc>
          <w:tcPr>
            <w:tcW w:type="dxa" w:w="3322"/>
          </w:tcPr>
          <w:p>
            <w:pPr>
              <w:pStyle w:val="null3"/>
            </w:pPr>
            <w:r>
              <w:rPr>
                <w:rFonts w:ascii="仿宋_GB2312" w:hAnsi="仿宋_GB2312" w:cs="仿宋_GB2312" w:eastAsia="仿宋_GB2312"/>
              </w:rPr>
              <w:t>（1）符合商务、技术要求，不存在重大负偏离（2）未附有采购人不能接受的条件 （3）符合磋商文件规定的其他实质性要求 （4）未违反《中华人民共和国政府采购法》和其他相关法律、法规的规定</w:t>
            </w:r>
          </w:p>
        </w:tc>
        <w:tc>
          <w:tcPr>
            <w:tcW w:type="dxa" w:w="1661"/>
          </w:tcPr>
          <w:p>
            <w:pPr>
              <w:pStyle w:val="null3"/>
            </w:pPr>
            <w:r>
              <w:rPr>
                <w:rFonts w:ascii="仿宋_GB2312" w:hAnsi="仿宋_GB2312" w:cs="仿宋_GB2312" w:eastAsia="仿宋_GB2312"/>
              </w:rPr>
              <w:t>服务内容及服务邀请应答表 中小企业声明函 费用组成表.docx 商务应答表 业绩证明文件.docx 响应文件封面 残疾人福利性单位声明函 服务方案 标的清单 供应商资格证明文件.docx 人员配备一览表.docx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1.评审内容：供应商针对本项目制定的总体工作方案，包含①项目需求，②目标任务，③编制标准规范方案，④工作流程，⑤实施保障措施。2.评审标准：①.完整性：服务方案须全面，思路清晰、分析透彻，内容完整、方案科学、合理；②.可实施性；切合本项目实际情况，步骤明确、可操作性强；③针对性：总体方案能够紧扣项目实际情况，专业性强、内容科学、合理。3.赋分标准（满分24分）：①每一项评审内容完全满足评审标准得6分；②每一项评审内容若存在方案不够明确、不够合理、不够完整、针对性不够强等方面，扣2分；③每一项评审内容不提供或完全背离评审标准得0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项目管理方案</w:t>
            </w:r>
          </w:p>
        </w:tc>
        <w:tc>
          <w:tcPr>
            <w:tcW w:type="dxa" w:w="2492"/>
          </w:tcPr>
          <w:p>
            <w:pPr>
              <w:pStyle w:val="null3"/>
            </w:pPr>
            <w:r>
              <w:rPr>
                <w:rFonts w:ascii="仿宋_GB2312" w:hAnsi="仿宋_GB2312" w:cs="仿宋_GB2312" w:eastAsia="仿宋_GB2312"/>
              </w:rPr>
              <w:t>1.评审内容：包含①园区基本情况；②自评组织实施情况；③总体评价及等级，分析报告；④改进提升方向及建议、评分表、佐证资料。 2.评审标准：①完整性：保障措施须全面，完整、科学、合理；②可实施性；切合本项目实际情况，思路明确、可操作性强；③针对性：能够紧扣项目实际情况，内容科学、合理。3.赋分标准（满分24分）：①每一项评审内容完全满足评审标准得6分；②每一项评审内容若存在方案不够明确、不够合理、不够完整、针对性不够强等方面，扣2分；③每一项评审内容不提供或完全背离评审标准得0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项目组织</w:t>
            </w:r>
          </w:p>
        </w:tc>
        <w:tc>
          <w:tcPr>
            <w:tcW w:type="dxa" w:w="2492"/>
          </w:tcPr>
          <w:p>
            <w:pPr>
              <w:pStyle w:val="null3"/>
            </w:pPr>
            <w:r>
              <w:rPr>
                <w:rFonts w:ascii="仿宋_GB2312" w:hAnsi="仿宋_GB2312" w:cs="仿宋_GB2312" w:eastAsia="仿宋_GB2312"/>
              </w:rPr>
              <w:t>1.评审内容：①提供组织框架；②人员名单及工作职责；③拟投入设备情况。 2.评审标准：每一项内容描述详细，切实可行符合项目实际内容得4.0分，①～③项合计得12分。内容①～③项任意一项缺项扣4.0分，扣完为止；内容①～③项里有一项内容缺陷（缺陷是指：内容不详细具体、条理不清晰、描述过于简单、与项目特点不匹配、凭空编造、出现常识性错误、不可能实现的夸大情形、存在不适用项目实际情况的情形等）扣0.5分，扣完为止。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人员配备一览表.docx</w:t>
            </w:r>
          </w:p>
        </w:tc>
      </w:tr>
      <w:tr>
        <w:tc>
          <w:tcPr>
            <w:tcW w:type="dxa" w:w="831"/>
            <w:vMerge/>
          </w:tcPr>
          <w:p/>
        </w:tc>
        <w:tc>
          <w:tcPr>
            <w:tcW w:type="dxa" w:w="1661"/>
          </w:tcPr>
          <w:p>
            <w:pPr>
              <w:pStyle w:val="null3"/>
            </w:pPr>
            <w:r>
              <w:rPr>
                <w:rFonts w:ascii="仿宋_GB2312" w:hAnsi="仿宋_GB2312" w:cs="仿宋_GB2312" w:eastAsia="仿宋_GB2312"/>
              </w:rPr>
              <w:t>重、难点分析方案</w:t>
            </w:r>
          </w:p>
        </w:tc>
        <w:tc>
          <w:tcPr>
            <w:tcW w:type="dxa" w:w="2492"/>
          </w:tcPr>
          <w:p>
            <w:pPr>
              <w:pStyle w:val="null3"/>
            </w:pPr>
            <w:r>
              <w:rPr>
                <w:rFonts w:ascii="仿宋_GB2312" w:hAnsi="仿宋_GB2312" w:cs="仿宋_GB2312" w:eastAsia="仿宋_GB2312"/>
              </w:rPr>
              <w:t>1.评审内容：投标人针对本项目重、难点分析方案：包含但不限于①重难点分析；②重难点解决对策。2.评审标准：①完整性：以上内容无缺项，内容全面。②针对性：专门针对本项目编制，符合本项目实际情况。③可实施性：内容全面详细，且条理清晰、准确、合理，能够保障项目顺利实施，可操作性强。3.赋分标准（满分12分）：①每一项评审内容完全满足评审标准得6分；②每一项评审内容若存在内容不够明确、不够合理、不够完整、针对性不强等方面，扣1分；③每一项评审内容不提供或完全背离评审标准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项目进度计划及质量保证措施</w:t>
            </w:r>
          </w:p>
        </w:tc>
        <w:tc>
          <w:tcPr>
            <w:tcW w:type="dxa" w:w="2492"/>
          </w:tcPr>
          <w:p>
            <w:pPr>
              <w:pStyle w:val="null3"/>
            </w:pPr>
            <w:r>
              <w:rPr>
                <w:rFonts w:ascii="仿宋_GB2312" w:hAnsi="仿宋_GB2312" w:cs="仿宋_GB2312" w:eastAsia="仿宋_GB2312"/>
              </w:rPr>
              <w:t>1.评审内容：供应商针对本项目提供项目进度计划及质量保证措施，内容包括：①各阶段工作计划及保证措施；②各阶段质量保证措施。2.评审标准①完整性：保障措施须全面，完整、科学、合理；②可实施性；切合本项目实际情况，思路明确、可操作性强；③针对性：能够紧扣项目实际情况，内容科学、合理。3.赋分标准（满分8分）①每一项评审内容完全满足评审标准得4分；②每一项评审内容若存在不够明确、不够合理、不够完整、针对性不够强等方面，扣1.5分；③每一项评审内容不提供或完全背离评审标准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后期服务配合计划</w:t>
            </w:r>
          </w:p>
        </w:tc>
        <w:tc>
          <w:tcPr>
            <w:tcW w:type="dxa" w:w="2492"/>
          </w:tcPr>
          <w:p>
            <w:pPr>
              <w:pStyle w:val="null3"/>
            </w:pPr>
            <w:r>
              <w:rPr>
                <w:rFonts w:ascii="仿宋_GB2312" w:hAnsi="仿宋_GB2312" w:cs="仿宋_GB2312" w:eastAsia="仿宋_GB2312"/>
              </w:rPr>
              <w:t>1.评审内容：后期服务配合计划，包括①为采购人提供相关技术咨询，②优化建议等措施，③配合采购人提供相应的成果及相关材料，④配合采购人完成汇报演示、成果验收及报批等相关工作。2.评审标准①完整性：后期服务配合计划全面，完整、科学、合理；②可实施性；切合本项目实际情况，思路明确、可操作性强；③针对性：能够紧扣项目实际情况，内容科学、合理。3.赋分标准（满分8分）①每一项评审内容完全满足评审标准得2分；②每一项评审内容若存在不够明确、不够合理、不够完整、针对性不够强等方面，扣0.5分；③每一项评审内容不提供或完全背离评审标准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投标人提供近3年(2022年12月至今)类似业绩：有一项得1分，本项最高得2分；投标人需提供中标通知书或合同或成果文件复印件。</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满足磋商文件实质性要求且最终报价最低的供应商的价格为磋商基准价，其价格分为满分10分。 磋商报价得分=（磋商基准价/最终磋商报价）×价格权值×100% 磋商报价不完整的，不进入磋商基准价的计算，本项得0分。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详见附件：费用组成表.docx</w:t>
      </w:r>
    </w:p>
    <w:p>
      <w:pPr>
        <w:pStyle w:val="null3"/>
        <w:ind w:firstLine="960"/>
      </w:pPr>
      <w:r>
        <w:rPr>
          <w:rFonts w:ascii="仿宋_GB2312" w:hAnsi="仿宋_GB2312" w:cs="仿宋_GB2312" w:eastAsia="仿宋_GB2312"/>
        </w:rPr>
        <w:t>详见附件：人员配备一览表.docx</w:t>
      </w:r>
    </w:p>
    <w:p>
      <w:pPr>
        <w:pStyle w:val="null3"/>
        <w:ind w:firstLine="960"/>
      </w:pPr>
      <w:r>
        <w:rPr>
          <w:rFonts w:ascii="仿宋_GB2312" w:hAnsi="仿宋_GB2312" w:cs="仿宋_GB2312" w:eastAsia="仿宋_GB2312"/>
        </w:rPr>
        <w:t>详见附件：业绩证明文件.docx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