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版本号：HY-ZB-014-202620260324001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大荔县地籍调查数据汇交工作项目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HY-ZB-014-2026</w:t>
      </w:r>
      <w:r>
        <w:br/>
      </w:r>
      <w:r>
        <w:br/>
      </w:r>
      <w:r>
        <w:br/>
      </w:r>
    </w:p>
    <w:p>
      <w:pPr>
        <w:pStyle w:val="null3"/>
        <w:jc w:val="center"/>
        <w:outlineLvl w:val="2"/>
      </w:pPr>
      <w:r>
        <w:rPr>
          <w:rFonts w:ascii="仿宋_GB2312" w:hAnsi="仿宋_GB2312" w:cs="仿宋_GB2312" w:eastAsia="仿宋_GB2312"/>
          <w:sz w:val="28"/>
          <w:b/>
        </w:rPr>
        <w:t>大荔县自然资源局</w:t>
      </w:r>
    </w:p>
    <w:p>
      <w:pPr>
        <w:pStyle w:val="null3"/>
        <w:jc w:val="center"/>
        <w:outlineLvl w:val="2"/>
      </w:pPr>
      <w:r>
        <w:rPr>
          <w:rFonts w:ascii="仿宋_GB2312" w:hAnsi="仿宋_GB2312" w:cs="仿宋_GB2312" w:eastAsia="仿宋_GB2312"/>
          <w:sz w:val="28"/>
          <w:b/>
        </w:rPr>
        <w:t>陕西翰元工程咨询有限公司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陕西翰元工程咨询有限公司</w:t>
      </w:r>
      <w:r>
        <w:rPr>
          <w:rFonts w:ascii="仿宋_GB2312" w:hAnsi="仿宋_GB2312" w:cs="仿宋_GB2312" w:eastAsia="仿宋_GB2312"/>
        </w:rPr>
        <w:t>（以下简称“代理机构”）受</w:t>
      </w:r>
      <w:r>
        <w:rPr>
          <w:rFonts w:ascii="仿宋_GB2312" w:hAnsi="仿宋_GB2312" w:cs="仿宋_GB2312" w:eastAsia="仿宋_GB2312"/>
        </w:rPr>
        <w:t>大荔县自然资源局</w:t>
      </w:r>
      <w:r>
        <w:rPr>
          <w:rFonts w:ascii="仿宋_GB2312" w:hAnsi="仿宋_GB2312" w:cs="仿宋_GB2312" w:eastAsia="仿宋_GB2312"/>
        </w:rPr>
        <w:t>委托，拟对</w:t>
      </w:r>
      <w:r>
        <w:rPr>
          <w:rFonts w:ascii="仿宋_GB2312" w:hAnsi="仿宋_GB2312" w:cs="仿宋_GB2312" w:eastAsia="仿宋_GB2312"/>
        </w:rPr>
        <w:t>大荔县地籍调查数据汇交工作项目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HY-ZB-014-2026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大荔县地籍调查数据汇交工作项目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本次采购服务范围为大荔县行政辖区内农村宅基地和集体建设用地地籍数据汇交全流程工作；县域内农村宅基地和集体建设用地地籍数据汇交，建立数据库，汇交数据库整合等。服务周期30日历天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采购包1（大荔县地籍调查数据汇交工作项目）：属于专门面向中小企业采购。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1、具有独立承担民事责任的能力：具有独立承担民事责任的能力的企业法人、其他组织或者自然人。</w:t>
      </w:r>
    </w:p>
    <w:p>
      <w:pPr>
        <w:pStyle w:val="null3"/>
      </w:pPr>
      <w:r>
        <w:rPr>
          <w:rFonts w:ascii="仿宋_GB2312" w:hAnsi="仿宋_GB2312" w:cs="仿宋_GB2312" w:eastAsia="仿宋_GB2312"/>
        </w:rPr>
        <w:t>2、供应商应提供健全的财务会计制度的证明材料：1.提供2024年度或2025年度完整审计报告，成立时间至提交投标文件截止时间不足1年的提供开标前一个月内基本存款账户开户银行出具的资信证明。2.社会保障资金缴纳证明：提供投标文件递交截止时间前12个月内任意一个月的社保缴费凭据或社保机构开具的社会保险参保缴费情况证明；依法不需要缴纳社会保障资金的供应商应提供相关文件证明。3.税收缴纳证明：提供投标文件递交截止 时间前12个月内任意一个月的缴费凭据；依法免税的应提供相关文件证明。供应商需在项目电子化交易系统中按要求上传相应证明文件并进行电子签章。供应商需在项目电子化交易系统中按要求上传相应证明文件并进行电子签章。</w:t>
      </w:r>
    </w:p>
    <w:p>
      <w:pPr>
        <w:pStyle w:val="null3"/>
      </w:pPr>
      <w:r>
        <w:rPr>
          <w:rFonts w:ascii="仿宋_GB2312" w:hAnsi="仿宋_GB2312" w:cs="仿宋_GB2312" w:eastAsia="仿宋_GB2312"/>
        </w:rPr>
        <w:t>3、具有履行合同的声明：提供具有履行本合同所必需的设备和专业技术能力的说明或承诺；</w:t>
      </w:r>
    </w:p>
    <w:p>
      <w:pPr>
        <w:pStyle w:val="null3"/>
      </w:pPr>
      <w:r>
        <w:rPr>
          <w:rFonts w:ascii="仿宋_GB2312" w:hAnsi="仿宋_GB2312" w:cs="仿宋_GB2312" w:eastAsia="仿宋_GB2312"/>
        </w:rPr>
        <w:t>4、无重大违法记录书面声明：参加政府采购活动前三年内在经营活动中无重大违法记录的书面声明；</w:t>
      </w:r>
    </w:p>
    <w:p>
      <w:pPr>
        <w:pStyle w:val="null3"/>
      </w:pPr>
      <w:r>
        <w:rPr>
          <w:rFonts w:ascii="仿宋_GB2312" w:hAnsi="仿宋_GB2312" w:cs="仿宋_GB2312" w:eastAsia="仿宋_GB2312"/>
        </w:rPr>
        <w:t>5、法定代表人授权书或法定代表人身份证明书：为企业法定代表人出具，信息真实合法有效，附有法定代表人和被委托人身份证复印件且人证相符（若法定代表人直接参加投标会则须提供法定代表人身份证明及法定代表人身份证复印件）；</w:t>
      </w:r>
    </w:p>
    <w:p>
      <w:pPr>
        <w:pStyle w:val="null3"/>
      </w:pPr>
      <w:r>
        <w:rPr>
          <w:rFonts w:ascii="仿宋_GB2312" w:hAnsi="仿宋_GB2312" w:cs="仿宋_GB2312" w:eastAsia="仿宋_GB2312"/>
        </w:rPr>
        <w:t>6、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7、供应商资质要求：应商需具备测绘乙级及以上资质，项目负责人须具备测绘专业中级及以上职称，且在本单位注册。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大荔县东环路十字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大荔县自然资源局经办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0913-3269986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陕西翰元工程咨询有限公司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大荔县西城街道办西二环北段551号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李沙沙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13093977939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采购包1：351,000.00元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代理服务费收费标准：参考《国家发展改革委关于进一步放开建设项目专业服务价格的通知》(发改价格(2015)299号)的要求，参照计价格(2002) 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大荔县自然资源局</w:t>
      </w:r>
      <w:r>
        <w:rPr>
          <w:rFonts w:ascii="仿宋_GB2312" w:hAnsi="仿宋_GB2312" w:cs="仿宋_GB2312" w:eastAsia="仿宋_GB2312"/>
        </w:rPr>
        <w:t>和</w:t>
      </w:r>
      <w:r>
        <w:rPr>
          <w:rFonts w:ascii="仿宋_GB2312" w:hAnsi="仿宋_GB2312" w:cs="仿宋_GB2312" w:eastAsia="仿宋_GB2312"/>
        </w:rPr>
        <w:t>陕西翰元工程咨询有限公司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陕西翰元工程咨询有限公司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陕西翰元工程咨询有限公司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数据自检合格率达到100%，上报省级平台后通过质检并成功入库。</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联系人：李沙沙</w:t>
      </w:r>
    </w:p>
    <w:p>
      <w:pPr>
        <w:pStyle w:val="null3"/>
      </w:pPr>
      <w:r>
        <w:rPr>
          <w:rFonts w:ascii="仿宋_GB2312" w:hAnsi="仿宋_GB2312" w:cs="仿宋_GB2312" w:eastAsia="仿宋_GB2312"/>
        </w:rPr>
        <w:t>联系电话：13093977939</w:t>
      </w:r>
    </w:p>
    <w:p>
      <w:pPr>
        <w:pStyle w:val="null3"/>
      </w:pPr>
      <w:r>
        <w:rPr>
          <w:rFonts w:ascii="仿宋_GB2312" w:hAnsi="仿宋_GB2312" w:cs="仿宋_GB2312" w:eastAsia="仿宋_GB2312"/>
        </w:rPr>
        <w:t>地址：大荔县西城街道办西二环北段551号</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本次采购服务范围为大荔县行政辖区内农村宅基地和集体建设用地地籍数据汇交全流程工作；县域内农村宅基地和集体建设用地地籍数据汇交，建立数据库，汇交数据库整合等。服务周期30日历天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351,000.00</w:t>
      </w:r>
    </w:p>
    <w:p>
      <w:pPr>
        <w:pStyle w:val="null3"/>
      </w:pPr>
      <w:r>
        <w:rPr>
          <w:rFonts w:ascii="仿宋_GB2312" w:hAnsi="仿宋_GB2312" w:cs="仿宋_GB2312" w:eastAsia="仿宋_GB2312"/>
        </w:rPr>
        <w:t>采购包最高限价（元）: 351,000.00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大荔县地籍调查数据汇交工作项目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351,000.00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标的名称：大荔县地籍调查数据汇交工作项目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一、服务范围</w:t>
            </w:r>
          </w:p>
          <w:p>
            <w:pPr>
              <w:pStyle w:val="null3"/>
              <w:jc w:val="both"/>
            </w:pPr>
            <w:r>
              <w:rPr>
                <w:rFonts w:ascii="仿宋_GB2312" w:hAnsi="仿宋_GB2312" w:cs="仿宋_GB2312" w:eastAsia="仿宋_GB2312"/>
                <w:sz w:val="21"/>
              </w:rPr>
              <w:t>本次采购服务范围为大荔县行政辖区内农村宅基地和集体建设用地地籍数据汇交全流程工作，严格对照省级不动产数据库数据汇交相关规范、技术标准及工作要求，完成全要素地籍调查成果梳理、规整、质检、整改、汇交上报、跟踪整改、验收归档及配套技术支撑工作，具体覆盖以下范畴：</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数据成果范围：大荔县全域已完成地籍调查的农村宅基地使用权、集体建设用地使用权全量成果，包含宗地空间矢量数据、权属属性数据、界址点坐标成果、标准宗地图、地籍调查表、权属审批资料、档案扫描件、元数据等全部汇交必备成果，无遗漏、无缺项。</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工作流程范围：涵盖原始成果收集核对、数据格式规整、数学基础统一、数据质量自检自查、问题数据整改完善、标准汇交数据包封装、省级指定汇交平台上报、省级质检反馈跟踪、问题闭环整改、配合县级及省级核查验收、最终成果归档移交、后期质保期技术支撑全流程工作。</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服务对接范围：全程对接采购人、省级不动产数据管理相关部门，配合完成各类数据核查、资料报送、问题沟通及整改复核工作，确保数据顺利汇交至省级不动产数据库，完成最终入库备案。</w:t>
            </w:r>
          </w:p>
          <w:p>
            <w:pPr>
              <w:pStyle w:val="null3"/>
              <w:jc w:val="both"/>
            </w:pPr>
            <w:r>
              <w:rPr>
                <w:rFonts w:ascii="仿宋_GB2312" w:hAnsi="仿宋_GB2312" w:cs="仿宋_GB2312" w:eastAsia="仿宋_GB2312"/>
                <w:sz w:val="21"/>
              </w:rPr>
              <w:t>二、服务要求</w:t>
            </w:r>
          </w:p>
          <w:p>
            <w:pPr>
              <w:pStyle w:val="null3"/>
              <w:jc w:val="both"/>
            </w:pPr>
            <w:r>
              <w:rPr>
                <w:rFonts w:ascii="仿宋_GB2312" w:hAnsi="仿宋_GB2312" w:cs="仿宋_GB2312" w:eastAsia="仿宋_GB2312"/>
                <w:sz w:val="21"/>
              </w:rPr>
              <w:t>（一）总体服务要求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严格遵循国家、陕西省及省级不动产数据库相关技术规范，核心执行《</w:t>
            </w:r>
            <w:r>
              <w:rPr>
                <w:rFonts w:ascii="仿宋_GB2312" w:hAnsi="仿宋_GB2312" w:cs="仿宋_GB2312" w:eastAsia="仿宋_GB2312"/>
                <w:sz w:val="21"/>
              </w:rPr>
              <w:t>TD/T 1078-2023</w:t>
            </w:r>
            <w:r>
              <w:rPr>
                <w:rFonts w:ascii="仿宋_GB2312" w:hAnsi="仿宋_GB2312" w:cs="仿宋_GB2312" w:eastAsia="仿宋_GB2312"/>
                <w:sz w:val="21"/>
              </w:rPr>
              <w:t>不动产登记数据成果汇交规范》《农村宅基地和集体建设用地地籍调查规程》及省级不动产数据库数据汇交细则、最新工作通知要求，所有工作流程、数据标准、成果格式完全贴合省级汇交入库标准。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数据数学基础严格执行</w:t>
            </w:r>
            <w:r>
              <w:rPr>
                <w:rFonts w:ascii="仿宋_GB2312" w:hAnsi="仿宋_GB2312" w:cs="仿宋_GB2312" w:eastAsia="仿宋_GB2312"/>
                <w:sz w:val="21"/>
              </w:rPr>
              <w:t>CGCS2000</w:t>
            </w:r>
            <w:r>
              <w:rPr>
                <w:rFonts w:ascii="仿宋_GB2312" w:hAnsi="仿宋_GB2312" w:cs="仿宋_GB2312" w:eastAsia="仿宋_GB2312"/>
                <w:sz w:val="21"/>
              </w:rPr>
              <w:t>国家大地坐标系、</w:t>
            </w:r>
            <w:r>
              <w:rPr>
                <w:rFonts w:ascii="仿宋_GB2312" w:hAnsi="仿宋_GB2312" w:cs="仿宋_GB2312" w:eastAsia="仿宋_GB2312"/>
                <w:sz w:val="21"/>
              </w:rPr>
              <w:t>1985</w:t>
            </w:r>
            <w:r>
              <w:rPr>
                <w:rFonts w:ascii="仿宋_GB2312" w:hAnsi="仿宋_GB2312" w:cs="仿宋_GB2312" w:eastAsia="仿宋_GB2312"/>
                <w:sz w:val="21"/>
              </w:rPr>
              <w:t>国家高程基准，投影方式、数据精度、字段结构、图层命名、目录架构与省级不动产数据库完全一致，杜绝数据基础不规范导致的汇交失败。</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建立全程质量管控体系，实行</w:t>
            </w:r>
            <w:r>
              <w:rPr>
                <w:rFonts w:ascii="仿宋_GB2312" w:hAnsi="仿宋_GB2312" w:cs="仿宋_GB2312" w:eastAsia="仿宋_GB2312"/>
                <w:sz w:val="21"/>
              </w:rPr>
              <w:t>“</w:t>
            </w:r>
            <w:r>
              <w:rPr>
                <w:rFonts w:ascii="仿宋_GB2312" w:hAnsi="仿宋_GB2312" w:cs="仿宋_GB2312" w:eastAsia="仿宋_GB2312"/>
                <w:sz w:val="21"/>
              </w:rPr>
              <w:t>自检</w:t>
            </w:r>
            <w:r>
              <w:rPr>
                <w:rFonts w:ascii="仿宋_GB2312" w:hAnsi="仿宋_GB2312" w:cs="仿宋_GB2312" w:eastAsia="仿宋_GB2312"/>
                <w:sz w:val="21"/>
              </w:rPr>
              <w:t>-</w:t>
            </w:r>
            <w:r>
              <w:rPr>
                <w:rFonts w:ascii="仿宋_GB2312" w:hAnsi="仿宋_GB2312" w:cs="仿宋_GB2312" w:eastAsia="仿宋_GB2312"/>
                <w:sz w:val="21"/>
              </w:rPr>
              <w:t>复检</w:t>
            </w:r>
            <w:r>
              <w:rPr>
                <w:rFonts w:ascii="仿宋_GB2312" w:hAnsi="仿宋_GB2312" w:cs="仿宋_GB2312" w:eastAsia="仿宋_GB2312"/>
                <w:sz w:val="21"/>
              </w:rPr>
              <w:t>-</w:t>
            </w:r>
            <w:r>
              <w:rPr>
                <w:rFonts w:ascii="仿宋_GB2312" w:hAnsi="仿宋_GB2312" w:cs="仿宋_GB2312" w:eastAsia="仿宋_GB2312"/>
                <w:sz w:val="21"/>
              </w:rPr>
              <w:t>整改</w:t>
            </w:r>
            <w:r>
              <w:rPr>
                <w:rFonts w:ascii="仿宋_GB2312" w:hAnsi="仿宋_GB2312" w:cs="仿宋_GB2312" w:eastAsia="仿宋_GB2312"/>
                <w:sz w:val="21"/>
              </w:rPr>
              <w:t>-</w:t>
            </w:r>
            <w:r>
              <w:rPr>
                <w:rFonts w:ascii="仿宋_GB2312" w:hAnsi="仿宋_GB2312" w:cs="仿宋_GB2312" w:eastAsia="仿宋_GB2312"/>
                <w:sz w:val="21"/>
              </w:rPr>
              <w:t>复核</w:t>
            </w:r>
            <w:r>
              <w:rPr>
                <w:rFonts w:ascii="仿宋_GB2312" w:hAnsi="仿宋_GB2312" w:cs="仿宋_GB2312" w:eastAsia="仿宋_GB2312"/>
                <w:sz w:val="21"/>
              </w:rPr>
              <w:t>”</w:t>
            </w:r>
            <w:r>
              <w:rPr>
                <w:rFonts w:ascii="仿宋_GB2312" w:hAnsi="仿宋_GB2312" w:cs="仿宋_GB2312" w:eastAsia="仿宋_GB2312"/>
                <w:sz w:val="21"/>
              </w:rPr>
              <w:t>闭环管理机制，安排专职技术人员全程负责，确保数据质量达标，一次性通过省级质检，最大限度减少整改返工。</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严格遵守不动产数据及测绘数据保密管理规定，落实数据安全保密责任，全程做好数据防护、存储、传输及销毁工作，严禁数据泄露、外传、篡改、私自留存或用于本项目以外的其他用途，保障数据安全与权属信息保密。</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服从采购人统一管理，按照约定工期推进工作，及时汇报工作进度，主动对接省级汇交平台运维及管理部门，高效响应各类核查、整改及资料补充要求，直至项目完成验收、数据成功入库。</w:t>
            </w:r>
          </w:p>
          <w:p>
            <w:pPr>
              <w:pStyle w:val="null3"/>
              <w:jc w:val="both"/>
            </w:pPr>
            <w:r>
              <w:rPr>
                <w:rFonts w:ascii="仿宋_GB2312" w:hAnsi="仿宋_GB2312" w:cs="仿宋_GB2312" w:eastAsia="仿宋_GB2312"/>
                <w:sz w:val="21"/>
              </w:rPr>
              <w:t>（二）具体工作服务要求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数据收集与规整：全面收集大荔县农村宅基地、集体建设用地地籍调查全量原始成果，逐一核对数据完整性，统一规范文件命名、存储目录、数据格式，补齐缺失字段、缺失附件，梳理形成完整规整的基础数据台账，确保原始数据无丢失、无损坏。</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数据质量全面自检：对照省级汇交质检标准，开展全方位质量检查，重点核查数学基础一致性、空间拓扑合规性（无重叠、无裂缝、无悬挂节点、界址关系正确）、属性信息完整性（权利人信息、权属性质、用途、面积、四至、审批文号等关键字段齐全有效）、数据逻辑一致性（空间数据与属性数据匹配、面积勾稽关系正确、档案资料与数据信息一致）、档案资料规范性（地籍调查表、宗地图、扫描件清晰完整、签章齐全）。</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问题数据整改完善：针对自检发现的问题及后续省级质检反馈的问题，建立详细问题清单，明确整改措施、整改时限，逐项落实整改工作，形成完整整改记录及复核报告，整改完成后重新质检复核，确保所有问题全部闭环，无遗留问题。</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标准汇交包制作：按照省级不动产数据库汇交数据包规范，封装合格汇交数据包，包含矢量数据文件、属性数据库、元数据文件、影像数据、档案扫描件、数据自检报告、整改报告、汇交申请等全部必备资料，数据包格式、大小、命名完全符合平台上传要求。</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平台上报与跟踪：通过省级指定不动产数据汇交平台完成数据包上传，实时跟踪数据接收、质检、审核状态，及时获取省级反馈意见，第一时间对接采购人开展整改工作，全程跟进直至数据通过省级审核并成功入库。</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验收与归档：配合采购人完成县级初步验收、省级最终验收工作，验收合格后，整理全套项目成果、工作资料、质检及整改材料，按照档案管理规范完成归档移交，提供完整的成果目录及归档说明。</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人员与技术保障：供应商需配备固定的专职技术团队，团队成员需熟悉不动产地籍调查、数据汇交规范及省级平台操作流程，具备同类项目服务经验；配备符合数据安全及技术要求的软硬件设备，保障项目高效、顺利推进。</w:t>
            </w:r>
          </w:p>
          <w:p>
            <w:pPr>
              <w:pStyle w:val="null3"/>
              <w:jc w:val="both"/>
            </w:pPr>
            <w:r>
              <w:rPr>
                <w:rFonts w:ascii="仿宋_GB2312" w:hAnsi="仿宋_GB2312" w:cs="仿宋_GB2312" w:eastAsia="仿宋_GB2312"/>
                <w:sz w:val="21"/>
              </w:rPr>
              <w:t>三、服务标准</w:t>
            </w:r>
          </w:p>
          <w:p>
            <w:pPr>
              <w:pStyle w:val="null3"/>
              <w:jc w:val="both"/>
            </w:pPr>
            <w:r>
              <w:rPr>
                <w:rFonts w:ascii="仿宋_GB2312" w:hAnsi="仿宋_GB2312" w:cs="仿宋_GB2312" w:eastAsia="仿宋_GB2312"/>
                <w:sz w:val="21"/>
              </w:rPr>
              <w:t>（一）数据质量服务标准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数据合规率达到</w:t>
            </w:r>
            <w:r>
              <w:rPr>
                <w:rFonts w:ascii="仿宋_GB2312" w:hAnsi="仿宋_GB2312" w:cs="仿宋_GB2312" w:eastAsia="仿宋_GB2312"/>
                <w:sz w:val="21"/>
              </w:rPr>
              <w:t>100%</w:t>
            </w:r>
            <w:r>
              <w:rPr>
                <w:rFonts w:ascii="仿宋_GB2312" w:hAnsi="仿宋_GB2312" w:cs="仿宋_GB2312" w:eastAsia="仿宋_GB2312"/>
                <w:sz w:val="21"/>
              </w:rPr>
              <w:t>：所有汇交数据的数学基础、格式规范、字段结构、拓扑关系、属性信息、档案资料全部符合国家及省级汇交规范，无违规项、无缺失项。</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汇交通过率标准：数据自检合格率达到</w:t>
            </w:r>
            <w:r>
              <w:rPr>
                <w:rFonts w:ascii="仿宋_GB2312" w:hAnsi="仿宋_GB2312" w:cs="仿宋_GB2312" w:eastAsia="仿宋_GB2312"/>
                <w:sz w:val="21"/>
              </w:rPr>
              <w:t>100%</w:t>
            </w:r>
            <w:r>
              <w:rPr>
                <w:rFonts w:ascii="仿宋_GB2312" w:hAnsi="仿宋_GB2312" w:cs="仿宋_GB2312" w:eastAsia="仿宋_GB2312"/>
                <w:sz w:val="21"/>
              </w:rPr>
              <w:t>，上报省级平台后一次性质检通过率不低于</w:t>
            </w:r>
            <w:r>
              <w:rPr>
                <w:rFonts w:ascii="仿宋_GB2312" w:hAnsi="仿宋_GB2312" w:cs="仿宋_GB2312" w:eastAsia="仿宋_GB2312"/>
                <w:sz w:val="21"/>
              </w:rPr>
              <w:t>98%</w:t>
            </w:r>
            <w:r>
              <w:rPr>
                <w:rFonts w:ascii="仿宋_GB2312" w:hAnsi="仿宋_GB2312" w:cs="仿宋_GB2312" w:eastAsia="仿宋_GB2312"/>
                <w:sz w:val="21"/>
              </w:rPr>
              <w:t>，若存在微小问题需整改，需在省级反馈后</w:t>
            </w:r>
            <w:r>
              <w:rPr>
                <w:rFonts w:ascii="仿宋_GB2312" w:hAnsi="仿宋_GB2312" w:cs="仿宋_GB2312" w:eastAsia="仿宋_GB2312"/>
                <w:sz w:val="21"/>
              </w:rPr>
              <w:t>2</w:t>
            </w:r>
            <w:r>
              <w:rPr>
                <w:rFonts w:ascii="仿宋_GB2312" w:hAnsi="仿宋_GB2312" w:cs="仿宋_GB2312" w:eastAsia="仿宋_GB2312"/>
                <w:sz w:val="21"/>
              </w:rPr>
              <w:t>个工作日内完成全部整改并重新上报复核，确保最终</w:t>
            </w:r>
            <w:r>
              <w:rPr>
                <w:rFonts w:ascii="仿宋_GB2312" w:hAnsi="仿宋_GB2312" w:cs="仿宋_GB2312" w:eastAsia="仿宋_GB2312"/>
                <w:sz w:val="21"/>
              </w:rPr>
              <w:t>100%</w:t>
            </w:r>
            <w:r>
              <w:rPr>
                <w:rFonts w:ascii="仿宋_GB2312" w:hAnsi="仿宋_GB2312" w:cs="仿宋_GB2312" w:eastAsia="仿宋_GB2312"/>
                <w:sz w:val="21"/>
              </w:rPr>
              <w:t>通过质检并成功入库，无重大质量问题。</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成果完整性标准：交付成果涵盖汇交数据包、自检报告、整改报告、汇交回执、入库凭证、工作总结、归档目录等全部资料，宗地数据、界址数据、属性数据、档案资料全覆盖，无遗漏、无缺漏。</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安全保密标准：严格执行《中华人民共和国保守国家秘密法》《测绘成果管理条例》及不动产数据保密相关规定，项目全程无数据泄露、丢失、篡改、违规使用情况，项目结束后，按照要求销毁临时存储的原始数据及中间数据，留存资料仅用于归档备案。</w:t>
            </w:r>
          </w:p>
          <w:p>
            <w:pPr>
              <w:pStyle w:val="null3"/>
              <w:jc w:val="both"/>
            </w:pPr>
            <w:r>
              <w:rPr>
                <w:rFonts w:ascii="仿宋_GB2312" w:hAnsi="仿宋_GB2312" w:cs="仿宋_GB2312" w:eastAsia="仿宋_GB2312"/>
                <w:sz w:val="21"/>
              </w:rPr>
              <w:t>（二）服务进度标准</w:t>
            </w:r>
          </w:p>
          <w:p>
            <w:pPr>
              <w:pStyle w:val="null3"/>
              <w:jc w:val="both"/>
            </w:pPr>
            <w:r>
              <w:rPr>
                <w:rFonts w:ascii="仿宋_GB2312" w:hAnsi="仿宋_GB2312" w:cs="仿宋_GB2312" w:eastAsia="仿宋_GB2312"/>
                <w:sz w:val="21"/>
              </w:rPr>
              <w:t>合同签订后，供应商需在</w:t>
            </w:r>
            <w:r>
              <w:rPr>
                <w:rFonts w:ascii="仿宋_GB2312" w:hAnsi="仿宋_GB2312" w:cs="仿宋_GB2312" w:eastAsia="仿宋_GB2312"/>
                <w:sz w:val="21"/>
              </w:rPr>
              <w:t>30</w:t>
            </w:r>
            <w:r>
              <w:rPr>
                <w:rFonts w:ascii="仿宋_GB2312" w:hAnsi="仿宋_GB2312" w:cs="仿宋_GB2312" w:eastAsia="仿宋_GB2312"/>
                <w:sz w:val="21"/>
              </w:rPr>
              <w:t>个工作日内完成全部数据收集、规整及自检工作</w:t>
            </w:r>
            <w:r>
              <w:rPr>
                <w:rFonts w:ascii="仿宋_GB2312" w:hAnsi="仿宋_GB2312" w:cs="仿宋_GB2312" w:eastAsia="仿宋_GB2312"/>
                <w:sz w:val="21"/>
              </w:rPr>
              <w:t>，</w:t>
            </w:r>
            <w:r>
              <w:rPr>
                <w:rFonts w:ascii="仿宋_GB2312" w:hAnsi="仿宋_GB2312" w:cs="仿宋_GB2312" w:eastAsia="仿宋_GB2312"/>
                <w:sz w:val="21"/>
              </w:rPr>
              <w:t>上报至省级汇交平台；</w:t>
            </w:r>
            <w:r>
              <w:rPr>
                <w:rFonts w:ascii="仿宋_GB2312" w:hAnsi="仿宋_GB2312" w:cs="仿宋_GB2312" w:eastAsia="仿宋_GB2312"/>
                <w:sz w:val="21"/>
              </w:rPr>
              <w:t>验收合格。</w:t>
            </w:r>
          </w:p>
          <w:p>
            <w:pPr>
              <w:pStyle w:val="null3"/>
              <w:jc w:val="both"/>
            </w:pPr>
            <w:r>
              <w:rPr>
                <w:rFonts w:ascii="仿宋_GB2312" w:hAnsi="仿宋_GB2312" w:cs="仿宋_GB2312" w:eastAsia="仿宋_GB2312"/>
                <w:sz w:val="21"/>
              </w:rPr>
              <w:t>四、成果要求：提供电子版文件</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根据项目内容配置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根据项目内容配置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大荔县自然资源局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数据自检合格率达到100%，上报省级平台后通过质检并成功入库。</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采购人因未及时向中标人提供项目启动所需资料造成服务期延误，每延误1日则本合同服务周期限延长1日，以此类推；因资料真实性给中标人造成损失和产生相关连带责任时，采购人除按中标人要求进行赔偿外还需承担因连带责任产生的所有责任。 （二）因中标人原因造成服务期延误（自然灾害、疫情等不可抗力除外），采购人有权从未付款项中按每日3‰合同价款扣除违约金，此违约以30日为限。</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具有独立承担民事责任的能力的企业法人、其他组织或者自然人。</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提供2024年度或2025年度完整审计报告，成立时间至提交投标文件截止时间不足1年的提供开标前一个月内基本存款账户开户银行出具的资信证明。2.社会保障资金缴纳证明：提供投标文件递交截止时间前12个月内任意一个月的社保缴费凭据或社保机构开具的社会保险参保缴费情况证明；依法不需要缴纳社会保障资金的供应商应提供相关文件证明。3.税收缴纳证明：提供投标文件递交截止 时间前12个月内任意一个月的缴费凭据；依法免税的应提供相关文件证明。供应商需在项目电子化交易系统中按要求上传相应证明文件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法定代表人授权书或法定代表人身份证明书</w:t>
            </w:r>
          </w:p>
        </w:tc>
        <w:tc>
          <w:tcPr>
            <w:tcW w:type="dxa" w:w="3322"/>
          </w:tcPr>
          <w:p>
            <w:pPr>
              <w:pStyle w:val="null3"/>
            </w:pPr>
            <w:r>
              <w:rPr>
                <w:rFonts w:ascii="仿宋_GB2312" w:hAnsi="仿宋_GB2312" w:cs="仿宋_GB2312" w:eastAsia="仿宋_GB2312"/>
              </w:rPr>
              <w:t>为企业法定代表人出具，信息真实合法有效，附有法定代表人和被委托人身份证复印件且人证相符（若法定代表人直接参加投标会则须提供法定代表人身份证明及法定代表人身份证复印件）；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应商需具备测绘乙级及以上资质，项目负责人须具备测绘专业中级及以上职称，且在本单位注册。</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费用组成表.docx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按竞争性磋商文件要求进行签章</w:t>
            </w:r>
          </w:p>
        </w:tc>
        <w:tc>
          <w:tcPr>
            <w:tcW w:type="dxa" w:w="1661"/>
          </w:tcPr>
          <w:p>
            <w:pPr>
              <w:pStyle w:val="null3"/>
            </w:pPr>
            <w:r>
              <w:rPr>
                <w:rFonts w:ascii="仿宋_GB2312" w:hAnsi="仿宋_GB2312" w:cs="仿宋_GB2312" w:eastAsia="仿宋_GB2312"/>
              </w:rPr>
              <w:t>服务内容及服务邀请应答表 中小企业声明函 费用组成表.docx 商务应答表 业绩证明文件.docx 响应文件封面 残疾人福利性单位声明函 服务方案 标的清单 供应商资格证明文件.docx 人员配备一览表.docx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费用组成表.docx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w:t>
            </w:r>
          </w:p>
        </w:tc>
        <w:tc>
          <w:tcPr>
            <w:tcW w:type="dxa" w:w="3322"/>
          </w:tcPr>
          <w:p>
            <w:pPr>
              <w:pStyle w:val="null3"/>
            </w:pPr>
            <w:r>
              <w:rPr>
                <w:rFonts w:ascii="仿宋_GB2312" w:hAnsi="仿宋_GB2312" w:cs="仿宋_GB2312" w:eastAsia="仿宋_GB2312"/>
              </w:rPr>
              <w:t>（1）符合商务、技术要求，不存在重大负偏离（2）未附有采购人不能接受的条件 （3）符合磋商文件规定的其他实质性要求 （4）未违反《中华人民共和国政府采购法》和其他相关法律、法规的规定</w:t>
            </w:r>
          </w:p>
        </w:tc>
        <w:tc>
          <w:tcPr>
            <w:tcW w:type="dxa" w:w="1661"/>
          </w:tcPr>
          <w:p>
            <w:pPr>
              <w:pStyle w:val="null3"/>
            </w:pPr>
            <w:r>
              <w:rPr>
                <w:rFonts w:ascii="仿宋_GB2312" w:hAnsi="仿宋_GB2312" w:cs="仿宋_GB2312" w:eastAsia="仿宋_GB2312"/>
              </w:rPr>
              <w:t>服务内容及服务邀请应答表 中小企业声明函 费用组成表.docx 商务应答表 业绩证明文件.docx 响应文件封面 残疾人福利性单位声明函 服务方案 标的清单 供应商资格证明文件.docx 人员配备一览表.docx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投标人提供针对本项目需求，提供详细、清晰、科学、合理的服务方案，包含但不限于：①历史地籍资料的收集②编制标准规范方案③工作流程④数据整理⑤数据汇交分析整合能力⑥实施保障措施。 以上内容无缺项，专门针对本项目编制，符合本项目实际情况，内容全面详细，且条理清晰、准确、合理，能够保障项目顺利实施的每小项得4分。每小项缺项或者内容非针对于本项目的扣4分，每小项有一处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投标人针对项目特点和执行要求制定具体的管理方案，包含但不限于：①项目组织的工作团队；②内部监督检查制度；③质量及安全把关制度；④纪律约束制度等；⑤投入人员安全生产管理制度。 以上内容无缺项，专门针对本项目编制，符合本项目实际情况，内容全面详细，且条理清晰、准确、合理，能够保障项目顺利实施的每小项得4分。每小项缺项或者内容非针对于本项目的扣4分，每小项有一处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投标人针对本项目提供的质量保证措施：包含但不限于①质量管理制度；②质量控制措施。 以上内容无缺项，专门针对本项目编制，符合本项目实际情况，内容全面详细，且条理清晰、准确、合理，能够保障项目顺利实施的每小项得4分。每小项缺项或者内容非针对于本项目的扣4分，每小项有一处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投标人针对本项目提供的进度计划保障措施：包含但不限于①总体进度计划保证措施；②重要时间节点保证措施。 以上内容无缺项，专门针对本项目编制，符合本项目实际情况，内容全面详细，且条理清晰、准确、合理，能够保障项目顺利实施的每小项得4分。每小项缺项或者内容非针对于本项目的扣4分，每小项有一处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重、难点分析方案</w:t>
            </w:r>
          </w:p>
        </w:tc>
        <w:tc>
          <w:tcPr>
            <w:tcW w:type="dxa" w:w="2492"/>
          </w:tcPr>
          <w:p>
            <w:pPr>
              <w:pStyle w:val="null3"/>
            </w:pPr>
            <w:r>
              <w:rPr>
                <w:rFonts w:ascii="仿宋_GB2312" w:hAnsi="仿宋_GB2312" w:cs="仿宋_GB2312" w:eastAsia="仿宋_GB2312"/>
              </w:rPr>
              <w:t>投标人针对本项目重、难点分析方案：包含但不限于①重难点分析；②重难点解决对策。 以上内容无缺项，专门针对本项目编制，符合本项目实际情况，内容全面详细，且条理清晰、准确、合理，能够保障项目顺利实施的每小项得2分。每小项缺项或者内容非针对于本项目的扣2分，每小项有一处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服务承诺、合理化建议</w:t>
            </w:r>
          </w:p>
        </w:tc>
        <w:tc>
          <w:tcPr>
            <w:tcW w:type="dxa" w:w="2492"/>
          </w:tcPr>
          <w:p>
            <w:pPr>
              <w:pStyle w:val="null3"/>
            </w:pPr>
            <w:r>
              <w:rPr>
                <w:rFonts w:ascii="仿宋_GB2312" w:hAnsi="仿宋_GB2312" w:cs="仿宋_GB2312" w:eastAsia="仿宋_GB2312"/>
              </w:rPr>
              <w:t>投标人针对本项目有具体的服务承诺、合理化建议及意见：包含但不限于①服务承诺；②合理化建议及意见。 以上内容无缺项，专门针对本项目编制，符合本项目实际情况，内容全面详细，且条理清晰、准确、合理，能够保障项目顺利实施的每小项得2分。每小项缺项或者内容非针对于本项目的扣2分，每小项有一处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项目主要成员（不含项目负责人）具有相关专业中级及以上的职称，每提供一名得2分，最高得12分。 提供相关证明资料，无资料不得分。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人员配备一览表.docx</w:t>
            </w:r>
          </w:p>
        </w:tc>
      </w:tr>
      <w:tr>
        <w:tc>
          <w:tcPr>
            <w:tcW w:type="dxa" w:w="831"/>
            <w:vMerge/>
          </w:tcPr>
          <w:p/>
        </w:tc>
        <w:tc>
          <w:tcPr>
            <w:tcW w:type="dxa" w:w="1661"/>
          </w:tcPr>
          <w:p>
            <w:pPr>
              <w:pStyle w:val="null3"/>
            </w:pPr>
            <w:r>
              <w:rPr>
                <w:rFonts w:ascii="仿宋_GB2312" w:hAnsi="仿宋_GB2312" w:cs="仿宋_GB2312" w:eastAsia="仿宋_GB2312"/>
              </w:rPr>
              <w:t>安全保密</w:t>
            </w:r>
          </w:p>
        </w:tc>
        <w:tc>
          <w:tcPr>
            <w:tcW w:type="dxa" w:w="2492"/>
          </w:tcPr>
          <w:p>
            <w:pPr>
              <w:pStyle w:val="null3"/>
            </w:pPr>
            <w:r>
              <w:rPr>
                <w:rFonts w:ascii="仿宋_GB2312" w:hAnsi="仿宋_GB2312" w:cs="仿宋_GB2312" w:eastAsia="仿宋_GB2312"/>
              </w:rPr>
              <w:t>针对本项目提供详细的保密措施，措施及方案科学合理，完全满足项目需求计2分；措施及方法合理，基本满足项目需求计1分；措施及方法简单，不利于项目实施计0分。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投标人具有2023年3月1日以来(以合同签订时间为准)类似业绩，每提供一份合同得1分，最高得3分。 评审材料:投标文件中提供完整合同复印件并加盖投标人公章，未提供或提供不完整的不得分。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业绩证明文件.docx</w:t>
            </w:r>
          </w:p>
        </w:tc>
      </w:tr>
      <w:tr>
        <w:tc>
          <w:tcPr>
            <w:tcW w:type="dxa" w:w="831"/>
            <w:vMerge/>
          </w:tcPr>
          <w:p/>
        </w:tc>
        <w:tc>
          <w:tcPr>
            <w:tcW w:type="dxa" w:w="1661"/>
          </w:tcPr>
          <w:p>
            <w:pPr>
              <w:pStyle w:val="null3"/>
            </w:pPr>
            <w:r>
              <w:rPr>
                <w:rFonts w:ascii="仿宋_GB2312" w:hAnsi="仿宋_GB2312" w:cs="仿宋_GB2312" w:eastAsia="仿宋_GB2312"/>
              </w:rPr>
              <w:t>后续服务计划</w:t>
            </w:r>
          </w:p>
        </w:tc>
        <w:tc>
          <w:tcPr>
            <w:tcW w:type="dxa" w:w="2492"/>
          </w:tcPr>
          <w:p>
            <w:pPr>
              <w:pStyle w:val="null3"/>
            </w:pPr>
            <w:r>
              <w:rPr>
                <w:rFonts w:ascii="仿宋_GB2312" w:hAnsi="仿宋_GB2312" w:cs="仿宋_GB2312" w:eastAsia="仿宋_GB2312"/>
              </w:rPr>
              <w:t>根据投标人针对本项目制定的后续服务计划是否详细、合理，0-5分，未提供不得分。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详见附件：费用组成表.docx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详见附件：人员配备一览表.docx</w:t>
      </w:r>
    </w:p>
    <w:p>
      <w:pPr>
        <w:pStyle w:val="null3"/>
        <w:ind w:firstLine="960"/>
      </w:pPr>
      <w:r>
        <w:rPr>
          <w:rFonts w:ascii="仿宋_GB2312" w:hAnsi="仿宋_GB2312" w:cs="仿宋_GB2312" w:eastAsia="仿宋_GB2312"/>
        </w:rPr>
        <w:t>详见附件：业绩证明文件.docx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