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版本号：DLZCCS2026-520260402001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医用血管造影X射线机（DSA）维保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DLZCCS2026-5</w:t>
      </w:r>
      <w:r>
        <w:br/>
      </w:r>
      <w:r>
        <w:br/>
      </w:r>
      <w:r>
        <w:br/>
      </w:r>
    </w:p>
    <w:p>
      <w:pPr>
        <w:pStyle w:val="null3"/>
        <w:jc w:val="center"/>
        <w:outlineLvl w:val="2"/>
      </w:pPr>
      <w:r>
        <w:rPr>
          <w:rFonts w:ascii="仿宋_GB2312" w:hAnsi="仿宋_GB2312" w:cs="仿宋_GB2312" w:eastAsia="仿宋_GB2312"/>
          <w:sz w:val="28"/>
          <w:b/>
        </w:rPr>
        <w:t>大荔县医院</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大荔县医院</w:t>
      </w:r>
      <w:r>
        <w:rPr>
          <w:rFonts w:ascii="仿宋_GB2312" w:hAnsi="仿宋_GB2312" w:cs="仿宋_GB2312" w:eastAsia="仿宋_GB2312"/>
        </w:rPr>
        <w:t>委托，拟对</w:t>
      </w:r>
      <w:r>
        <w:rPr>
          <w:rFonts w:ascii="仿宋_GB2312" w:hAnsi="仿宋_GB2312" w:cs="仿宋_GB2312" w:eastAsia="仿宋_GB2312"/>
        </w:rPr>
        <w:t>医用血管造影X射线机（DSA）维保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DLZCCS2026-5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医用血管造影X射线机（DSA）维保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乐普viCOY-CV100 DSA及配套设备（高压注射器、监护仪、工作站、除颤仪等全部第三方设备）维修保养服务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采购包1（大荔县医院医用血管X射线机（DSA）维保服务采购项目）：属于专门面向中小企业采购。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1、主体资格：在中华人民共和国境内注册、具有独立民事责任能力的法人、其他组织或自然人，具备从事本采购项目的经营范围和能力，提供合法有效的企业营业执照、法人证书或登记证书。</w:t>
      </w:r>
    </w:p>
    <w:p>
      <w:pPr>
        <w:pStyle w:val="null3"/>
      </w:pPr>
      <w:r>
        <w:rPr>
          <w:rFonts w:ascii="仿宋_GB2312" w:hAnsi="仿宋_GB2312" w:cs="仿宋_GB2312" w:eastAsia="仿宋_GB2312"/>
        </w:rPr>
        <w:t>2、法人代表授权书：法定代表人授权委托书：法定代表人参加投标的，提供本人身份证复印件；法定代表人授权他人参加投标的，提供法定代表人授权委托书。</w:t>
      </w:r>
    </w:p>
    <w:p>
      <w:pPr>
        <w:pStyle w:val="null3"/>
      </w:pPr>
      <w:r>
        <w:rPr>
          <w:rFonts w:ascii="仿宋_GB2312" w:hAnsi="仿宋_GB2312" w:cs="仿宋_GB2312" w:eastAsia="仿宋_GB2312"/>
        </w:rPr>
        <w:t>3、经营许可证：经销商是代理商的须提供合法有效的医疗器械经营许可证或第二类医疗器械经营备案凭证；经销商是生产厂商须提供合法有效的医疗器械生产许可证或备案凭证</w:t>
      </w:r>
    </w:p>
    <w:p>
      <w:pPr>
        <w:pStyle w:val="null3"/>
      </w:pPr>
      <w:r>
        <w:rPr>
          <w:rFonts w:ascii="仿宋_GB2312" w:hAnsi="仿宋_GB2312" w:cs="仿宋_GB2312" w:eastAsia="仿宋_GB2312"/>
        </w:rPr>
        <w:t>4、信用记录及声明：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大荔县洛滨大道中段北侧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13891318662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大荔县西城街道洛滨大道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大荔县医院</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验收标准：维保服务符合合同技术条款、国家医疗器械管理规范及临床使用安全要求，设备性能稳定、辐射安全与诊疗精度达标，设备运行正常，维保记录完整。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联系电话：0913-3256359</w:t>
      </w:r>
    </w:p>
    <w:p>
      <w:pPr>
        <w:pStyle w:val="null3"/>
      </w:pPr>
      <w:r>
        <w:rPr>
          <w:rFonts w:ascii="仿宋_GB2312" w:hAnsi="仿宋_GB2312" w:cs="仿宋_GB2312" w:eastAsia="仿宋_GB2312"/>
        </w:rPr>
        <w:t>地址：陕西省大荔县西城街道洛滨大道</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乐普viCOY-CV100 DSA及配套设备（高压注射器、监护仪、工作站、除颤仪等全部第三方设备）维修保养服务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医用血管造影X射线机（DSA）维修保养服务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标的名称：医用血管造影X射线机（DSA）维修保养服务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维保对象</w:t>
            </w:r>
            <w:r>
              <w:rPr>
                <w:rFonts w:ascii="仿宋_GB2312" w:hAnsi="仿宋_GB2312" w:cs="仿宋_GB2312" w:eastAsia="仿宋_GB2312"/>
                <w:sz w:val="21"/>
              </w:rPr>
              <w:t>:</w:t>
            </w:r>
            <w:r>
              <w:rPr>
                <w:rFonts w:ascii="仿宋_GB2312" w:hAnsi="仿宋_GB2312" w:cs="仿宋_GB2312" w:eastAsia="仿宋_GB2312"/>
                <w:sz w:val="21"/>
              </w:rPr>
              <w:t>乐普</w:t>
            </w:r>
            <w:r>
              <w:rPr>
                <w:rFonts w:ascii="仿宋_GB2312" w:hAnsi="仿宋_GB2312" w:cs="仿宋_GB2312" w:eastAsia="仿宋_GB2312"/>
                <w:sz w:val="21"/>
              </w:rPr>
              <w:t>vi</w:t>
            </w:r>
            <w:r>
              <w:rPr>
                <w:rFonts w:ascii="仿宋_GB2312" w:hAnsi="仿宋_GB2312" w:cs="仿宋_GB2312" w:eastAsia="仿宋_GB2312"/>
                <w:sz w:val="21"/>
              </w:rPr>
              <w:t>C</w:t>
            </w:r>
            <w:r>
              <w:rPr>
                <w:rFonts w:ascii="仿宋_GB2312" w:hAnsi="仿宋_GB2312" w:cs="仿宋_GB2312" w:eastAsia="仿宋_GB2312"/>
                <w:sz w:val="21"/>
              </w:rPr>
              <w:t>OY-CV100 D</w:t>
            </w:r>
            <w:r>
              <w:rPr>
                <w:rFonts w:ascii="仿宋_GB2312" w:hAnsi="仿宋_GB2312" w:cs="仿宋_GB2312" w:eastAsia="仿宋_GB2312"/>
                <w:sz w:val="21"/>
              </w:rPr>
              <w:t>S</w:t>
            </w:r>
            <w:r>
              <w:rPr>
                <w:rFonts w:ascii="仿宋_GB2312" w:hAnsi="仿宋_GB2312" w:cs="仿宋_GB2312" w:eastAsia="仿宋_GB2312"/>
                <w:sz w:val="21"/>
              </w:rPr>
              <w:t>A</w:t>
            </w:r>
            <w:r>
              <w:rPr>
                <w:rFonts w:ascii="仿宋_GB2312" w:hAnsi="仿宋_GB2312" w:cs="仿宋_GB2312" w:eastAsia="仿宋_GB2312"/>
                <w:sz w:val="21"/>
              </w:rPr>
              <w:t>及配套设备（高压注射器、监护仪、工作站、除颤仪等全部第三方设备）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维修类型</w:t>
            </w:r>
            <w:r>
              <w:rPr>
                <w:rFonts w:ascii="仿宋_GB2312" w:hAnsi="仿宋_GB2312" w:cs="仿宋_GB2312" w:eastAsia="仿宋_GB2312"/>
                <w:sz w:val="21"/>
              </w:rPr>
              <w:t>:</w:t>
            </w:r>
            <w:r>
              <w:rPr>
                <w:rFonts w:ascii="仿宋_GB2312" w:hAnsi="仿宋_GB2312" w:cs="仿宋_GB2312" w:eastAsia="仿宋_GB2312"/>
                <w:sz w:val="21"/>
              </w:rPr>
              <w:t>整机全保</w:t>
            </w:r>
            <w:r>
              <w:rPr>
                <w:rFonts w:ascii="仿宋_GB2312" w:hAnsi="仿宋_GB2312" w:cs="仿宋_GB2312" w:eastAsia="仿宋_GB2312"/>
                <w:sz w:val="21"/>
              </w:rPr>
              <w:t>（含</w:t>
            </w:r>
            <w:r>
              <w:rPr>
                <w:rFonts w:ascii="仿宋_GB2312" w:hAnsi="仿宋_GB2312" w:cs="仿宋_GB2312" w:eastAsia="仿宋_GB2312"/>
                <w:sz w:val="21"/>
              </w:rPr>
              <w:t>X</w:t>
            </w:r>
            <w:r>
              <w:rPr>
                <w:rFonts w:ascii="仿宋_GB2312" w:hAnsi="仿宋_GB2312" w:cs="仿宋_GB2312" w:eastAsia="仿宋_GB2312"/>
                <w:sz w:val="21"/>
              </w:rPr>
              <w:t>线球管、平板探测器等）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保修期限</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更换配件必须为原厂正品全新零部件（提供承诺函）。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每年至少四次专业维护保养，并提供维保记录单。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供应商提供专用维修服务电话，接到故障保修通知后</w:t>
            </w:r>
            <w:r>
              <w:rPr>
                <w:rFonts w:ascii="仿宋_GB2312" w:hAnsi="仿宋_GB2312" w:cs="仿宋_GB2312" w:eastAsia="仿宋_GB2312"/>
                <w:sz w:val="21"/>
              </w:rPr>
              <w:t>2</w:t>
            </w:r>
            <w:r>
              <w:rPr>
                <w:rFonts w:ascii="仿宋_GB2312" w:hAnsi="仿宋_GB2312" w:cs="仿宋_GB2312" w:eastAsia="仿宋_GB2312"/>
                <w:sz w:val="21"/>
              </w:rPr>
              <w:t>小时内响应，</w:t>
            </w:r>
            <w:r>
              <w:rPr>
                <w:rFonts w:ascii="仿宋_GB2312" w:hAnsi="仿宋_GB2312" w:cs="仿宋_GB2312" w:eastAsia="仿宋_GB2312"/>
                <w:sz w:val="21"/>
              </w:rPr>
              <w:t>8</w:t>
            </w:r>
            <w:r>
              <w:rPr>
                <w:rFonts w:ascii="仿宋_GB2312" w:hAnsi="仿宋_GB2312" w:cs="仿宋_GB2312" w:eastAsia="仿宋_GB2312"/>
                <w:sz w:val="21"/>
              </w:rPr>
              <w:t>小时内派人到现场。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服务期限内设备单次发生故障后</w:t>
            </w:r>
            <w:r>
              <w:rPr>
                <w:rFonts w:ascii="仿宋_GB2312" w:hAnsi="仿宋_GB2312" w:cs="仿宋_GB2312" w:eastAsia="仿宋_GB2312"/>
                <w:sz w:val="21"/>
              </w:rPr>
              <w:t>72</w:t>
            </w:r>
            <w:r>
              <w:rPr>
                <w:rFonts w:ascii="仿宋_GB2312" w:hAnsi="仿宋_GB2312" w:cs="仿宋_GB2312" w:eastAsia="仿宋_GB2312"/>
                <w:sz w:val="21"/>
              </w:rPr>
              <w:t>小时内必须修复，每延期一天，保修期顺延三天。</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保证全年开机率≥</w:t>
            </w:r>
            <w:r>
              <w:rPr>
                <w:rFonts w:ascii="仿宋_GB2312" w:hAnsi="仿宋_GB2312" w:cs="仿宋_GB2312" w:eastAsia="仿宋_GB2312"/>
                <w:sz w:val="21"/>
              </w:rPr>
              <w:t>95%,</w:t>
            </w:r>
            <w:r>
              <w:rPr>
                <w:rFonts w:ascii="仿宋_GB2312" w:hAnsi="仿宋_GB2312" w:cs="仿宋_GB2312" w:eastAsia="仿宋_GB2312"/>
                <w:sz w:val="21"/>
              </w:rPr>
              <w:t>全年按</w:t>
            </w:r>
            <w:r>
              <w:rPr>
                <w:rFonts w:ascii="仿宋_GB2312" w:hAnsi="仿宋_GB2312" w:cs="仿宋_GB2312" w:eastAsia="仿宋_GB2312"/>
                <w:sz w:val="21"/>
              </w:rPr>
              <w:t>365</w:t>
            </w:r>
            <w:r>
              <w:rPr>
                <w:rFonts w:ascii="仿宋_GB2312" w:hAnsi="仿宋_GB2312" w:cs="仿宋_GB2312" w:eastAsia="仿宋_GB2312"/>
                <w:sz w:val="21"/>
              </w:rPr>
              <w:t>天计算</w:t>
            </w:r>
            <w:r>
              <w:rPr>
                <w:rFonts w:ascii="仿宋_GB2312" w:hAnsi="仿宋_GB2312" w:cs="仿宋_GB2312" w:eastAsia="仿宋_GB2312"/>
                <w:sz w:val="21"/>
              </w:rPr>
              <w:t>,</w:t>
            </w:r>
            <w:r>
              <w:rPr>
                <w:rFonts w:ascii="仿宋_GB2312" w:hAnsi="仿宋_GB2312" w:cs="仿宋_GB2312" w:eastAsia="仿宋_GB2312"/>
                <w:sz w:val="21"/>
              </w:rPr>
              <w:t>全年停机不超过</w:t>
            </w:r>
            <w:r>
              <w:rPr>
                <w:rFonts w:ascii="仿宋_GB2312" w:hAnsi="仿宋_GB2312" w:cs="仿宋_GB2312" w:eastAsia="仿宋_GB2312"/>
                <w:sz w:val="21"/>
              </w:rPr>
              <w:t>18</w:t>
            </w:r>
            <w:r>
              <w:rPr>
                <w:rFonts w:ascii="仿宋_GB2312" w:hAnsi="仿宋_GB2312" w:cs="仿宋_GB2312" w:eastAsia="仿宋_GB2312"/>
                <w:sz w:val="21"/>
              </w:rPr>
              <w:t>天，</w:t>
            </w:r>
            <w:r>
              <w:rPr>
                <w:rFonts w:ascii="仿宋_GB2312" w:hAnsi="仿宋_GB2312" w:cs="仿宋_GB2312" w:eastAsia="仿宋_GB2312"/>
                <w:sz w:val="21"/>
              </w:rPr>
              <w:t>停机每超一天，保修期顺延三天。</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负责提供所有系统升级至最新版本并对所有升级软件功能终生开放。</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年度维修保养总结报告装订成册交院方存档。</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负责修复设备目前故障。</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配合完成年度设备技术性能质量检测工作，保证设备性能达到质检要求。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维保服务是否符合合同技术条款、国家医疗器械管理规范及临床使用安全要求，保障设备性能稳定、辐射安全与诊疗精度，确认设备运行正常。验收方法：综合维保记录、校准证书等资料审核，现场查验设备外观、电缆管路、附件完整性及功能测试，确保结果精准全面并确认设备运行正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服务期满6个月后，且设备高效运转</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受托方未经得委托方同意和谅解单方面延迟服务期限，将按违约终止合同；受托方如遇到可能妨碍按时供货或者服务的情况，及时以书面形式通知委托方，委托方收到通知后与代理机构及时评估，酌情修改合同内容。解决方法：双方本着友好协商的原则解决争议，解决不成，可向采购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1.提供2024或2025年度审计报告（资产负债表、利润表、现金流量表及其附注，成立时间至提交响应文件截止时间不足1年的提供开标前一个月内基本存款账户开户银行出具的资信证明。 2.提供已缴纳的2025年3月以来至少一个月的纳税证明或完税证明（任意税种），依法免税的供应商应提供相关证明材料。 3.提供已缴存的2025年3月以来至少一个月的社会保障资金缴存单据或社保机构开具的社会保险参保缴费情况证明。依法不需要缴纳社会保障资金的供应商应提供相关文件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一般性资格.docx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在中华人民共和国境内注册、具有独立民事责任能力的法人、其他组织或自然人，具备从事本采购项目的经营范围和能力，提供合法有效的企业营业执照、法人证书或登记证书。</w:t>
            </w:r>
          </w:p>
        </w:tc>
        <w:tc>
          <w:tcPr>
            <w:tcW w:type="dxa" w:w="1661"/>
          </w:tcPr>
          <w:p>
            <w:pPr>
              <w:pStyle w:val="null3"/>
            </w:pPr>
            <w:r>
              <w:rPr>
                <w:rFonts w:ascii="仿宋_GB2312" w:hAnsi="仿宋_GB2312" w:cs="仿宋_GB2312" w:eastAsia="仿宋_GB2312"/>
              </w:rPr>
              <w:t>特定资格.docx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法定代表人授权委托书：法定代表人参加投标的，提供本人身份证复印件；法定代表人授权他人参加投标的，提供法定代表人授权委托书。</w:t>
            </w:r>
          </w:p>
        </w:tc>
        <w:tc>
          <w:tcPr>
            <w:tcW w:type="dxa" w:w="1661"/>
          </w:tcPr>
          <w:p>
            <w:pPr>
              <w:pStyle w:val="null3"/>
            </w:pPr>
            <w:r>
              <w:rPr>
                <w:rFonts w:ascii="仿宋_GB2312" w:hAnsi="仿宋_GB2312" w:cs="仿宋_GB2312" w:eastAsia="仿宋_GB2312"/>
              </w:rPr>
              <w:t>特定资格.docx 法定代表人证明书及法定代表人授权书.docx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经营许可证</w:t>
            </w:r>
          </w:p>
        </w:tc>
        <w:tc>
          <w:tcPr>
            <w:tcW w:type="dxa" w:w="3322"/>
          </w:tcPr>
          <w:p>
            <w:pPr>
              <w:pStyle w:val="null3"/>
            </w:pPr>
            <w:r>
              <w:rPr>
                <w:rFonts w:ascii="仿宋_GB2312" w:hAnsi="仿宋_GB2312" w:cs="仿宋_GB2312" w:eastAsia="仿宋_GB2312"/>
              </w:rPr>
              <w:t>经销商是代理商的须提供合法有效的医疗器械经营许可证或第二类医疗器械经营备案凭证；经销商是生产厂商须提供合法有效的医疗器械生产许可证或备案凭证</w:t>
            </w:r>
          </w:p>
        </w:tc>
        <w:tc>
          <w:tcPr>
            <w:tcW w:type="dxa" w:w="1661"/>
          </w:tcPr>
          <w:p>
            <w:pPr>
              <w:pStyle w:val="null3"/>
            </w:pPr>
            <w:r>
              <w:rPr>
                <w:rFonts w:ascii="仿宋_GB2312" w:hAnsi="仿宋_GB2312" w:cs="仿宋_GB2312" w:eastAsia="仿宋_GB2312"/>
              </w:rPr>
              <w:t>特定资格.docx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信用记录及声明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特定资格.docx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2.供应商通过项目电子化交易系统在磋商小组要求的合理时间内提交说明，否则按无效处理。</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1.响应主体2.响应文件语言及有效期3.响应文件签署、盖章4.第一次磋商报价5.商务响应要求6.服务相应要求7.合同草案条款响应8.无其他磋商文件或法规明确规定响应无效的事项</w:t>
            </w:r>
          </w:p>
        </w:tc>
        <w:tc>
          <w:tcPr>
            <w:tcW w:type="dxa" w:w="3322"/>
          </w:tcPr>
          <w:p>
            <w:pPr>
              <w:pStyle w:val="null3"/>
            </w:pPr>
            <w:r>
              <w:rPr>
                <w:rFonts w:ascii="仿宋_GB2312" w:hAnsi="仿宋_GB2312" w:cs="仿宋_GB2312" w:eastAsia="仿宋_GB2312"/>
              </w:rPr>
              <w:t>1.磋商应文件落款、营业执照、公章与供应商名称完全一致。2.响应文件语言及有效期符合磋商文件要求。3.均按磋商文件要求签字、盖章（评分标准中要求提供的证明材料除外）。4.只能有一个有效报价，不接受选择性报价；第一次磋商报价表填写符合要求；计量单位、报价货币均符合磋商文件要求；第一次磋商报价未超出采购预算或磋商文件规定的最高限价；第一次磋商报价没有与市场偏差较大，低于成本、可能影响服务质量或不能诚信履约。5.服务期限、服务地点、支付方式等。6.服务要求。7.有完全理解并接受磋商文件合同草案条款要求的描述。8.响应文件中如含有采购人不能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类似业绩的有关证明材料.docx 特定资格.docx 一般性资格.docx 中小企业声明函 报价表 商务条款响应偏离表.docx 投入维修专用工具及检测仪器.docx 响应文件封面 分项报价表.docx 拟投入本项目人员力量配备.docx 残疾人福利性单位声明函 服务响应偏离表.docx 标的清单 法定代表人证明书及法定代表人授权书.docx 响应函 服务方案.docx 监狱企业的证明文件 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磋商报价</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最后报价最低的供应商的价格为磋商基准价，其价格分为满分。其他供应商的价格分统一按照下列公式计算： 磋商报价得分=（磋商基准价/最终磋商报价）×价格权值×100 注：因落实政府采购政策进行价格调整的，以调整后的价格计算磋商基准价和磋商报价。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维修保养方案</w:t>
            </w:r>
          </w:p>
        </w:tc>
        <w:tc>
          <w:tcPr>
            <w:tcW w:type="dxa" w:w="2492"/>
          </w:tcPr>
          <w:p>
            <w:pPr>
              <w:pStyle w:val="null3"/>
            </w:pPr>
            <w:r>
              <w:rPr>
                <w:rFonts w:ascii="仿宋_GB2312" w:hAnsi="仿宋_GB2312" w:cs="仿宋_GB2312" w:eastAsia="仿宋_GB2312"/>
              </w:rPr>
              <w:t>供应商根据磋商文件技术服务要求提供专项维修保养方案，根据方案响应情况，综合比较，差别赋分。 方案内容完整、合理、针对性强，得15分； 方案内容较为完整、合理、有一定针对性，得10 分； 方案内容不完整、针对性差，得 5 分； 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安检、性能测 试方案</w:t>
            </w:r>
          </w:p>
        </w:tc>
        <w:tc>
          <w:tcPr>
            <w:tcW w:type="dxa" w:w="2492"/>
          </w:tcPr>
          <w:p>
            <w:pPr>
              <w:pStyle w:val="null3"/>
            </w:pPr>
            <w:r>
              <w:rPr>
                <w:rFonts w:ascii="仿宋_GB2312" w:hAnsi="仿宋_GB2312" w:cs="仿宋_GB2312" w:eastAsia="仿宋_GB2312"/>
              </w:rPr>
              <w:t>供应商根据磋商技术服务要求提供安全检查（制定检查计划、机械安全检查、电气安全检查、记录检查结果等）、性能测试等服务方案，综合比较，差别赋分。 方案内容完整、合理、操作可行性强，得10 分； 方案内容较为完整、合理、有一定操作可行性，得7分； 方案内容不完整、操作可行性差，得3 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拟投入本项目人员力量配备.docx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零备件供应</w:t>
            </w:r>
          </w:p>
        </w:tc>
        <w:tc>
          <w:tcPr>
            <w:tcW w:type="dxa" w:w="2492"/>
          </w:tcPr>
          <w:p>
            <w:pPr>
              <w:pStyle w:val="null3"/>
            </w:pPr>
            <w:r>
              <w:rPr>
                <w:rFonts w:ascii="仿宋_GB2312" w:hAnsi="仿宋_GB2312" w:cs="仿宋_GB2312" w:eastAsia="仿宋_GB2312"/>
              </w:rPr>
              <w:t>1）零备件来源渠道（5分）：具备合法、稳定的备件来源渠道，确保更换的相关备件无假货、水货、翻新件且无产权纠纷。 提供的来源渠道证明材料完整、详细，得5 分； 提供的来源渠道证明材料较为完整、详细，得3 分； 提供的来源渠道证明材料不完整，缺漏项多，得1分； 不提供不得分。 （2）零备件库存（10分）：零备件库房相关资料（包括房产证明或租房合同等）；库存零备件资料（包括备件清单，库存照片等）。 提供的证明材料完整、详细，得10 分； 提供的证明材料较为完整、详细，得7分； 提供的证明材料不完整，缺漏项多，得3分； 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维修质量保证</w:t>
            </w:r>
          </w:p>
        </w:tc>
        <w:tc>
          <w:tcPr>
            <w:tcW w:type="dxa" w:w="2492"/>
          </w:tcPr>
          <w:p>
            <w:pPr>
              <w:pStyle w:val="null3"/>
            </w:pPr>
            <w:r>
              <w:rPr>
                <w:rFonts w:ascii="仿宋_GB2312" w:hAnsi="仿宋_GB2312" w:cs="仿宋_GB2312" w:eastAsia="仿宋_GB2312"/>
              </w:rPr>
              <w:t>能确保严格按照原厂技术要求进行维修保养，保证设备性能指标符合原厂技术标准，提供相关保障措施及证明材料。 方案内容完整、科学、合理、可行性强，得8分； 方案内容较为完整、科学、合理、可行性较强，得 5分； 方案内容不完整、合理、可行性差，得2分； 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每提供1名工程师具有同类设备维修培训证书及开标前半年内任意1个月的社保证明得2分，最高得6分。（须提供工程师培训证书及开标前半年内任意1个月的社保证明）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拟投入本项目人员力量配备.docx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根据投标响应提供的培训对象、培训内容、培训方式等内容评审。 方案内容完整可行性强的6分； 方案内容较为完整可行性尚可的4分； 方案内容不完整、合理、可行性差，得2分；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远程服务</w:t>
            </w:r>
          </w:p>
        </w:tc>
        <w:tc>
          <w:tcPr>
            <w:tcW w:type="dxa" w:w="2492"/>
          </w:tcPr>
          <w:p>
            <w:pPr>
              <w:pStyle w:val="null3"/>
            </w:pPr>
            <w:r>
              <w:rPr>
                <w:rFonts w:ascii="仿宋_GB2312" w:hAnsi="仿宋_GB2312" w:cs="仿宋_GB2312" w:eastAsia="仿宋_GB2312"/>
              </w:rPr>
              <w:t>能够提供远程全天 24 小时不间断监测设备运行状况服务，提前预警得 5 分，否则得 0 分。(须提供承诺书&lt;格式自拟&gt;)。</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维修专用工具及检测仪器</w:t>
            </w:r>
          </w:p>
        </w:tc>
        <w:tc>
          <w:tcPr>
            <w:tcW w:type="dxa" w:w="2492"/>
          </w:tcPr>
          <w:p>
            <w:pPr>
              <w:pStyle w:val="null3"/>
            </w:pPr>
            <w:r>
              <w:rPr>
                <w:rFonts w:ascii="仿宋_GB2312" w:hAnsi="仿宋_GB2312" w:cs="仿宋_GB2312" w:eastAsia="仿宋_GB2312"/>
              </w:rPr>
              <w:t>提供维修所必需的专用工具及检测仪器台账、清单、照片、购置发票及校验证明材料。 提供的证明材料完整、满足维修需求，能保证维修质量的6分； 提供的证明材料较为完整、尚能满足维修需求，较能保证维修质量的4分； 提供的证明材料不完整的2分；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投入维修专用工具及检测仪器.docx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针对设备可能出现的突发问题及重大故障，有具体可行的应急预案措施和解决方案，综合比较，差别赋分。 预案内容完整、科学、措施得当、可行性强，得5 分； 预案内容较为完整、科学、措施内容可行性较强，得3分； 预案内容不完整、措施内容可行性差，得1分。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提供供应商2023年1月1日至今同类业绩合同以合同签订时间为准，扫描件并加盖公章，每提供一份得3分，满分9分。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类似业绩的有关证明材料.docx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详见附件：补充说明的事宜.docx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详见附件：拟投入本项目人员力量配备.docx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详见附件：特定资格.docx</w:t>
      </w:r>
    </w:p>
    <w:p>
      <w:pPr>
        <w:pStyle w:val="null3"/>
        <w:ind w:firstLine="960"/>
      </w:pPr>
      <w:r>
        <w:rPr>
          <w:rFonts w:ascii="仿宋_GB2312" w:hAnsi="仿宋_GB2312" w:cs="仿宋_GB2312" w:eastAsia="仿宋_GB2312"/>
        </w:rPr>
        <w:t>详见附件：投入维修专用工具及检测仪器.docx</w:t>
      </w:r>
    </w:p>
    <w:p>
      <w:pPr>
        <w:pStyle w:val="null3"/>
        <w:ind w:firstLine="960"/>
      </w:pPr>
      <w:r>
        <w:rPr>
          <w:rFonts w:ascii="仿宋_GB2312" w:hAnsi="仿宋_GB2312" w:cs="仿宋_GB2312" w:eastAsia="仿宋_GB2312"/>
        </w:rPr>
        <w:t>详见附件：一般性资格.docx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