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版本号：HRC-ZBDL-2026-0035520260326002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大荔县赵渡镇冬枣产地交易市场建设项目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HRC-ZBDL-2026-00355</w:t>
      </w:r>
      <w:r>
        <w:br/>
      </w:r>
      <w:r>
        <w:br/>
      </w:r>
      <w:r>
        <w:br/>
      </w:r>
    </w:p>
    <w:p>
      <w:pPr>
        <w:pStyle w:val="null3"/>
        <w:jc w:val="center"/>
        <w:outlineLvl w:val="2"/>
      </w:pPr>
      <w:r>
        <w:rPr>
          <w:rFonts w:ascii="仿宋_GB2312" w:hAnsi="仿宋_GB2312" w:cs="仿宋_GB2312" w:eastAsia="仿宋_GB2312"/>
          <w:sz w:val="28"/>
          <w:b/>
        </w:rPr>
        <w:t>大荔县赵渡镇人民政府</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大荔县赵渡镇人民政府</w:t>
      </w:r>
      <w:r>
        <w:rPr>
          <w:rFonts w:ascii="仿宋_GB2312" w:hAnsi="仿宋_GB2312" w:cs="仿宋_GB2312" w:eastAsia="仿宋_GB2312"/>
        </w:rPr>
        <w:t>委托，拟对</w:t>
      </w:r>
      <w:r>
        <w:rPr>
          <w:rFonts w:ascii="仿宋_GB2312" w:hAnsi="仿宋_GB2312" w:cs="仿宋_GB2312" w:eastAsia="仿宋_GB2312"/>
        </w:rPr>
        <w:t>大荔县赵渡镇冬枣产地交易市场建设项目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HRC-ZBDL-2026-00355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大荔县赵渡镇冬枣产地交易市场建设项目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建设2座冷库。需满足的要求:进一步解决赵渡镇冬枣农产品保鲜、存储、精深加工和交易需求。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采购包1（大荔县赵渡镇冬枣产地交易市场建设项目）：属于专门面向中小企业采购。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1、法定代表人授权书：法定代表人授权代表参加的，须出具授权书（附法定代表人、被授权人身份证复印件）及被授权人在 本单位证明（提供开标前三个月内在本单位的社保缴纳记录），法定代表人参加投标只需提供本人身 份证；</w:t>
      </w:r>
    </w:p>
    <w:p>
      <w:pPr>
        <w:pStyle w:val="null3"/>
      </w:pPr>
      <w:r>
        <w:rPr>
          <w:rFonts w:ascii="仿宋_GB2312" w:hAnsi="仿宋_GB2312" w:cs="仿宋_GB2312" w:eastAsia="仿宋_GB2312"/>
        </w:rPr>
        <w:t>2、资质要求及项目经理要求：具备建筑工程施工总承包三级及以上资质，具有建设行政主管部门颁发的安全生产许可证。项目经理需具备建筑工程二级及以上注册建造师执业资格和有效的安全生产考核合格证书，并提供项目经理无在建证明及近三个月在本单位的社保缴纳证明</w:t>
      </w:r>
    </w:p>
    <w:p>
      <w:pPr>
        <w:pStyle w:val="null3"/>
      </w:pPr>
      <w:r>
        <w:rPr>
          <w:rFonts w:ascii="仿宋_GB2312" w:hAnsi="仿宋_GB2312" w:cs="仿宋_GB2312" w:eastAsia="仿宋_GB2312"/>
        </w:rPr>
        <w:t>3、信誉要求：投标人不得为“信用中国”网站（www.creditchina.gov.cn）中列入失 信被执行人和重大税收违法 案件当事人名单的投标人，不得为中国政府采购网（w ww.ccgp.gov.cn）政府采购严重违法失信行 为记录名单中被财政部门禁止参加政 府采购活动的投标人（处罚决定规定的时间和地域范围内）</w:t>
      </w:r>
    </w:p>
    <w:p>
      <w:pPr>
        <w:pStyle w:val="null3"/>
      </w:pPr>
      <w:r>
        <w:rPr>
          <w:rFonts w:ascii="仿宋_GB2312" w:hAnsi="仿宋_GB2312" w:cs="仿宋_GB2312" w:eastAsia="仿宋_GB2312"/>
        </w:rPr>
        <w:t>4、中小企业声明函：提供中小企业声明函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大荔县赵渡镇人民政府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大荔县赵渡镇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大荔县赵渡镇人民政府经办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18191437814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采购包1：1,793,015.15元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大荔县赵渡镇人民政府</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大荔县赵渡镇人民政府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大荔县赵渡镇人民政府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资料齐全：竣工资料真实完整、签字盖章规范。 2. 实体合格：工程质量符合设计要求及行业 标准，无安全隐患、功能缺陷。 3. 履约到位：工程量、工期、质保承诺符合合同约定。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1,793,015.15</w:t>
      </w:r>
    </w:p>
    <w:p>
      <w:pPr>
        <w:pStyle w:val="null3"/>
      </w:pPr>
      <w:r>
        <w:rPr>
          <w:rFonts w:ascii="仿宋_GB2312" w:hAnsi="仿宋_GB2312" w:cs="仿宋_GB2312" w:eastAsia="仿宋_GB2312"/>
        </w:rPr>
        <w:t>采购包最高限价（元）: 1,793,015.15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建设2座冷库</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1,793,015.15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标的名称：建设2座冷库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1"/>
                <w:b/>
              </w:rPr>
              <w:t>一、基本要求</w:t>
            </w:r>
          </w:p>
          <w:p>
            <w:pPr>
              <w:pStyle w:val="null3"/>
              <w:ind w:firstLine="640"/>
              <w:jc w:val="both"/>
            </w:pPr>
            <w:r>
              <w:rPr>
                <w:rFonts w:ascii="仿宋_GB2312" w:hAnsi="仿宋_GB2312" w:cs="仿宋_GB2312" w:eastAsia="仿宋_GB2312"/>
                <w:sz w:val="21"/>
              </w:rPr>
              <w:t>1、项目概况：</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21"/>
              </w:rPr>
              <w:t>建设2座冷库。需满足的要求:进一步解决赵渡镇冬枣农产品保鲜、存储、精深加工和交易需求。</w:t>
            </w:r>
          </w:p>
          <w:p>
            <w:pPr>
              <w:pStyle w:val="null3"/>
              <w:ind w:firstLine="640"/>
              <w:jc w:val="both"/>
            </w:pPr>
            <w:r>
              <w:rPr>
                <w:rFonts w:ascii="仿宋_GB2312" w:hAnsi="仿宋_GB2312" w:cs="仿宋_GB2312" w:eastAsia="仿宋_GB2312"/>
                <w:sz w:val="21"/>
              </w:rPr>
              <w:t>2、采购项目需要落实的政府采购政策：</w:t>
            </w:r>
          </w:p>
          <w:p>
            <w:pPr>
              <w:pStyle w:val="null3"/>
              <w:ind w:firstLine="640"/>
              <w:jc w:val="both"/>
            </w:pPr>
            <w:r>
              <w:rPr>
                <w:rFonts w:ascii="仿宋_GB2312" w:hAnsi="仿宋_GB2312" w:cs="仿宋_GB2312" w:eastAsia="仿宋_GB2312"/>
                <w:sz w:val="21"/>
              </w:rPr>
              <w:t>（1）《财政部 国家发展改革委关于印发〈节能产品政府采购实施意见〉的通知》（财库〔2004〕185号）；</w:t>
            </w:r>
          </w:p>
          <w:p>
            <w:pPr>
              <w:pStyle w:val="null3"/>
              <w:ind w:firstLine="640"/>
              <w:jc w:val="both"/>
            </w:pPr>
            <w:r>
              <w:rPr>
                <w:rFonts w:ascii="仿宋_GB2312" w:hAnsi="仿宋_GB2312" w:cs="仿宋_GB2312" w:eastAsia="仿宋_GB2312"/>
                <w:sz w:val="21"/>
              </w:rPr>
              <w:t>（2）《国务院办公厅关于建立政府强制采购节能产品制度的通知》（国办发〔2007〕51号）；</w:t>
            </w:r>
          </w:p>
          <w:p>
            <w:pPr>
              <w:pStyle w:val="null3"/>
              <w:ind w:firstLine="640"/>
              <w:jc w:val="both"/>
            </w:pPr>
            <w:r>
              <w:rPr>
                <w:rFonts w:ascii="仿宋_GB2312" w:hAnsi="仿宋_GB2312" w:cs="仿宋_GB2312" w:eastAsia="仿宋_GB2312"/>
                <w:sz w:val="21"/>
              </w:rPr>
              <w:t>（3）《财政部环保总局关于环境标志产品政府采购实施的意见》（财库〔2006〕90号）；</w:t>
            </w:r>
          </w:p>
          <w:p>
            <w:pPr>
              <w:pStyle w:val="null3"/>
              <w:ind w:firstLine="640"/>
              <w:jc w:val="both"/>
            </w:pPr>
            <w:r>
              <w:rPr>
                <w:rFonts w:ascii="仿宋_GB2312" w:hAnsi="仿宋_GB2312" w:cs="仿宋_GB2312" w:eastAsia="仿宋_GB2312"/>
                <w:sz w:val="21"/>
              </w:rPr>
              <w:t>（4）《政府采购促进中小企业发展管理办法》（财库〔2020〕46号）；</w:t>
            </w:r>
          </w:p>
          <w:p>
            <w:pPr>
              <w:pStyle w:val="null3"/>
              <w:ind w:firstLine="640"/>
              <w:jc w:val="both"/>
            </w:pPr>
            <w:r>
              <w:rPr>
                <w:rFonts w:ascii="仿宋_GB2312" w:hAnsi="仿宋_GB2312" w:cs="仿宋_GB2312" w:eastAsia="仿宋_GB2312"/>
                <w:sz w:val="21"/>
              </w:rPr>
              <w:t>（5）陕西省财政厅关于印发《陕西省中小企业政府采购信用融资办法》-（陕财办采</w:t>
            </w:r>
            <w:r>
              <w:rPr>
                <w:rFonts w:ascii="仿宋_GB2312" w:hAnsi="仿宋_GB2312" w:cs="仿宋_GB2312" w:eastAsia="仿宋_GB2312"/>
                <w:sz w:val="21"/>
              </w:rPr>
              <w:t>〔2018〕23号</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（6）《财政部司法部关于政府采购支持监狱企业发展有关问题的通知》（财库〔2014〕68号）；</w:t>
            </w:r>
          </w:p>
          <w:p>
            <w:pPr>
              <w:pStyle w:val="null3"/>
              <w:ind w:firstLine="640"/>
              <w:jc w:val="both"/>
            </w:pPr>
            <w:r>
              <w:rPr>
                <w:rFonts w:ascii="仿宋_GB2312" w:hAnsi="仿宋_GB2312" w:cs="仿宋_GB2312" w:eastAsia="仿宋_GB2312"/>
                <w:sz w:val="21"/>
              </w:rPr>
              <w:t>（7）《三部门联合发布关于促进残疾人就业政府采购政策的通知》（财库〔2017〕141号）；</w:t>
            </w:r>
          </w:p>
          <w:p>
            <w:pPr>
              <w:pStyle w:val="null3"/>
              <w:ind w:firstLine="64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财政部国务院扶贫办关于运用政府采购政策支持脱贫攻坚的通知</w:t>
            </w:r>
            <w:r>
              <w:rPr>
                <w:rFonts w:ascii="仿宋_GB2312" w:hAnsi="仿宋_GB2312" w:cs="仿宋_GB2312" w:eastAsia="仿宋_GB2312"/>
                <w:sz w:val="21"/>
              </w:rPr>
              <w:t>》（财库〔2019〕27号）</w:t>
            </w:r>
          </w:p>
          <w:p>
            <w:pPr>
              <w:pStyle w:val="null3"/>
              <w:ind w:firstLine="640"/>
              <w:jc w:val="both"/>
            </w:pPr>
            <w:r>
              <w:rPr>
                <w:rFonts w:ascii="仿宋_GB2312" w:hAnsi="仿宋_GB2312" w:cs="仿宋_GB2312" w:eastAsia="仿宋_GB2312"/>
                <w:sz w:val="21"/>
              </w:rPr>
              <w:t>（9）《关于进一步加大政府采购支持中小企业力度的通知》（财库〔2019〕19号）</w:t>
            </w:r>
          </w:p>
          <w:p>
            <w:pPr>
              <w:pStyle w:val="null3"/>
              <w:ind w:firstLine="640"/>
              <w:jc w:val="both"/>
            </w:pPr>
            <w:r>
              <w:rPr>
                <w:rFonts w:ascii="仿宋_GB2312" w:hAnsi="仿宋_GB2312" w:cs="仿宋_GB2312" w:eastAsia="仿宋_GB2312"/>
                <w:sz w:val="21"/>
              </w:rPr>
              <w:t>（10）其他需要落实的政府采购政策。</w:t>
            </w:r>
          </w:p>
          <w:p>
            <w:pPr>
              <w:pStyle w:val="null3"/>
              <w:ind w:firstLine="640"/>
              <w:jc w:val="both"/>
            </w:pPr>
            <w:r>
              <w:rPr>
                <w:rFonts w:ascii="仿宋_GB2312" w:hAnsi="仿宋_GB2312" w:cs="仿宋_GB2312" w:eastAsia="仿宋_GB2312"/>
                <w:sz w:val="21"/>
              </w:rPr>
              <w:t>（11）本项目专门面向中小企业采购。</w:t>
            </w:r>
          </w:p>
          <w:p>
            <w:pPr>
              <w:pStyle w:val="null3"/>
              <w:ind w:firstLine="640"/>
              <w:jc w:val="both"/>
            </w:pPr>
            <w:r>
              <w:rPr>
                <w:rFonts w:ascii="仿宋_GB2312" w:hAnsi="仿宋_GB2312" w:cs="仿宋_GB2312" w:eastAsia="仿宋_GB2312"/>
                <w:sz w:val="21"/>
              </w:rPr>
              <w:t>3、工期</w:t>
            </w:r>
            <w:r>
              <w:rPr>
                <w:rFonts w:ascii="仿宋_GB2312" w:hAnsi="仿宋_GB2312" w:cs="仿宋_GB2312" w:eastAsia="仿宋_GB2312"/>
                <w:sz w:val="21"/>
              </w:rPr>
              <w:t>：</w:t>
            </w:r>
            <w:r>
              <w:rPr>
                <w:rFonts w:ascii="仿宋_GB2312" w:hAnsi="仿宋_GB2312" w:cs="仿宋_GB2312" w:eastAsia="仿宋_GB2312"/>
                <w:sz w:val="21"/>
              </w:rPr>
              <w:t>180天</w:t>
            </w:r>
          </w:p>
          <w:p>
            <w:pPr>
              <w:pStyle w:val="null3"/>
              <w:ind w:firstLine="640"/>
              <w:jc w:val="both"/>
            </w:pPr>
            <w:r>
              <w:rPr>
                <w:rFonts w:ascii="仿宋_GB2312" w:hAnsi="仿宋_GB2312" w:cs="仿宋_GB2312" w:eastAsia="仿宋_GB2312"/>
                <w:sz w:val="21"/>
              </w:rPr>
              <w:t>4、工程地点：</w:t>
            </w:r>
            <w:r>
              <w:rPr>
                <w:rFonts w:ascii="仿宋_GB2312" w:hAnsi="仿宋_GB2312" w:cs="仿宋_GB2312" w:eastAsia="仿宋_GB2312"/>
                <w:sz w:val="21"/>
              </w:rPr>
              <w:t>大荔县赵渡镇</w:t>
            </w:r>
          </w:p>
          <w:p>
            <w:pPr>
              <w:pStyle w:val="null3"/>
              <w:ind w:firstLine="643"/>
              <w:jc w:val="both"/>
            </w:pPr>
            <w:r>
              <w:rPr>
                <w:rFonts w:ascii="仿宋_GB2312" w:hAnsi="仿宋_GB2312" w:cs="仿宋_GB2312" w:eastAsia="仿宋_GB2312"/>
                <w:sz w:val="21"/>
                <w:b/>
              </w:rPr>
              <w:t>二、需执行的国家相关标准、行业标准、地方标准或者其他标准、规范标准</w:t>
            </w:r>
          </w:p>
          <w:p>
            <w:pPr>
              <w:pStyle w:val="null3"/>
              <w:ind w:firstLine="640"/>
              <w:jc w:val="both"/>
            </w:pPr>
            <w:r>
              <w:rPr>
                <w:rFonts w:ascii="仿宋_GB2312" w:hAnsi="仿宋_GB2312" w:cs="仿宋_GB2312" w:eastAsia="仿宋_GB2312"/>
                <w:sz w:val="21"/>
              </w:rPr>
              <w:t>本工程参考和借鉴以下标准和技术规范：</w:t>
            </w:r>
          </w:p>
          <w:p>
            <w:pPr>
              <w:pStyle w:val="null3"/>
              <w:ind w:firstLine="640"/>
              <w:jc w:val="both"/>
            </w:pPr>
            <w:r>
              <w:rPr>
                <w:rFonts w:ascii="仿宋_GB2312" w:hAnsi="仿宋_GB2312" w:cs="仿宋_GB2312" w:eastAsia="仿宋_GB2312"/>
                <w:sz w:val="21"/>
              </w:rPr>
              <w:t>《建筑地基基础工程施工验收规范》；《砌体工程施工验收规范》；《混凝土工程施工验收规范》；《建筑地面施工验收规范》；建设部《工程建设标准强制性条文》等相关规范、标准。</w:t>
            </w:r>
          </w:p>
          <w:p>
            <w:pPr>
              <w:pStyle w:val="null3"/>
              <w:ind w:firstLine="643"/>
              <w:jc w:val="both"/>
            </w:pPr>
            <w:r>
              <w:rPr>
                <w:rFonts w:ascii="仿宋_GB2312" w:hAnsi="仿宋_GB2312" w:cs="仿宋_GB2312" w:eastAsia="仿宋_GB2312"/>
                <w:sz w:val="21"/>
                <w:b/>
              </w:rPr>
              <w:t>三、工程指标的具体要求：</w:t>
            </w:r>
          </w:p>
          <w:p>
            <w:pPr>
              <w:pStyle w:val="null3"/>
              <w:ind w:firstLine="640"/>
              <w:jc w:val="both"/>
            </w:pPr>
            <w:r>
              <w:rPr>
                <w:rFonts w:ascii="仿宋_GB2312" w:hAnsi="仿宋_GB2312" w:cs="仿宋_GB2312" w:eastAsia="仿宋_GB2312"/>
                <w:sz w:val="21"/>
              </w:rPr>
              <w:t>1.质量标准：合格</w:t>
            </w:r>
          </w:p>
          <w:p>
            <w:pPr>
              <w:pStyle w:val="null3"/>
              <w:ind w:firstLine="640"/>
              <w:jc w:val="both"/>
            </w:pPr>
            <w:r>
              <w:rPr>
                <w:rFonts w:ascii="仿宋_GB2312" w:hAnsi="仿宋_GB2312" w:cs="仿宋_GB2312" w:eastAsia="仿宋_GB2312"/>
                <w:sz w:val="21"/>
              </w:rPr>
              <w:t>2.安全要求：符合国家有关安全技术要求，落实安全生产责任制，杜绝安全隐患。</w:t>
            </w:r>
          </w:p>
          <w:p>
            <w:pPr>
              <w:pStyle w:val="null3"/>
              <w:ind w:firstLine="640"/>
              <w:jc w:val="both"/>
            </w:pPr>
            <w:r>
              <w:rPr>
                <w:rFonts w:ascii="仿宋_GB2312" w:hAnsi="仿宋_GB2312" w:cs="仿宋_GB2312" w:eastAsia="仿宋_GB2312"/>
                <w:sz w:val="21"/>
              </w:rPr>
              <w:t>3.技术规格：须满足国家、行业相关规范及要求及本项目要求。</w:t>
            </w:r>
          </w:p>
          <w:p>
            <w:pPr>
              <w:pStyle w:val="null3"/>
              <w:ind w:firstLine="640"/>
              <w:jc w:val="both"/>
            </w:pPr>
            <w:r>
              <w:rPr>
                <w:rFonts w:ascii="仿宋_GB2312" w:hAnsi="仿宋_GB2312" w:cs="仿宋_GB2312" w:eastAsia="仿宋_GB2312"/>
                <w:sz w:val="21"/>
              </w:rPr>
              <w:t>4.工程期限：180日历天。</w:t>
            </w:r>
          </w:p>
          <w:p>
            <w:pPr>
              <w:pStyle w:val="null3"/>
              <w:ind w:firstLine="640"/>
              <w:jc w:val="both"/>
            </w:pPr>
            <w:r>
              <w:rPr>
                <w:rFonts w:ascii="仿宋_GB2312" w:hAnsi="仿宋_GB2312" w:cs="仿宋_GB2312" w:eastAsia="仿宋_GB2312"/>
                <w:sz w:val="21"/>
                <w:b/>
              </w:rPr>
              <w:t>四、付款方式</w:t>
            </w:r>
          </w:p>
          <w:p>
            <w:pPr>
              <w:pStyle w:val="null3"/>
              <w:ind w:firstLine="640"/>
              <w:jc w:val="both"/>
            </w:pPr>
            <w:r>
              <w:rPr>
                <w:rFonts w:ascii="仿宋_GB2312" w:hAnsi="仿宋_GB2312" w:cs="仿宋_GB2312" w:eastAsia="仿宋_GB2312"/>
                <w:sz w:val="21"/>
              </w:rPr>
              <w:t>项目进场付40%，项目竣工验收合格后付60%。</w:t>
            </w:r>
          </w:p>
          <w:p>
            <w:pPr>
              <w:pStyle w:val="null3"/>
              <w:ind w:firstLine="640"/>
              <w:jc w:val="both"/>
            </w:pPr>
            <w:r>
              <w:rPr>
                <w:rFonts w:ascii="仿宋_GB2312" w:hAnsi="仿宋_GB2312" w:cs="仿宋_GB2312" w:eastAsia="仿宋_GB2312"/>
                <w:sz w:val="21"/>
                <w:b/>
              </w:rPr>
              <w:t>五、工程量清单</w:t>
            </w:r>
            <w:r>
              <w:br/>
            </w:r>
            <w:r>
              <w:rPr>
                <w:rFonts w:ascii="仿宋_GB2312" w:hAnsi="仿宋_GB2312" w:cs="仿宋_GB2312" w:eastAsia="仿宋_GB2312"/>
                <w:sz w:val="21"/>
              </w:rPr>
              <w:t xml:space="preserve">     详见清单附件。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参考和借鉴以下标准和技术规范：《建筑地基基础工程施工验收规范》；《砌体工程施工验收规范》；《混凝土工程施工验收规范》；《建筑地面施工验收规范》；建设部《工程建设标准强制性条文》等相关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2)有依法缴纳税收和社会保障资金的良好记录：税收缴纳证明：提供投标文件提交截止时间前近半年内任意一月已缴纳的纳税证明或完税证明，依法免税或不需要缴纳税收的 供应商应提供相关证明文件；社保缴纳证明：提供投标文件提交截止时间前近半年内任意一月已缴存的社会保障资金缴费证明或参保证明，3)具有履行合同所必需的设备和专业技术能力（提供承函）； 4)参加政府采购活动前三年内在经营活动中没有重大违法记录（提供书面声明）； 5)法律、行政法规规定的其他条件（提供承诺函）；供应商需在项目电子化交易系统中按要求上传相应证明文件并进行电子签章。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一年内银行出具的资信证明，注册时间截至响应文件提交截止日不足一年的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法定代表人授权代表参加的，须出具授权书（附法定代表人、被授权人身份证复印件）及被授权人在 本单位证明（提供开标前三个月内在本单位的社保缴纳记录），法定代表人参加投标只需提供本人身 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资质要求及项目经理要求</w:t>
            </w:r>
          </w:p>
        </w:tc>
        <w:tc>
          <w:tcPr>
            <w:tcW w:type="dxa" w:w="3322"/>
          </w:tcPr>
          <w:p>
            <w:pPr>
              <w:pStyle w:val="null3"/>
            </w:pPr>
            <w:r>
              <w:rPr>
                <w:rFonts w:ascii="仿宋_GB2312" w:hAnsi="仿宋_GB2312" w:cs="仿宋_GB2312" w:eastAsia="仿宋_GB2312"/>
              </w:rPr>
              <w:t>具备建筑工程施工总承包三级及以上资质，具有建设行政主管部门颁发的安全生产许可证。项目经理需具备建筑工程二级及以上注册建造师执业资格和有效的安全生产考核合格证书，并提供项目经理无在建证明及近三个月在本单位的社保缴纳证明</w:t>
            </w:r>
          </w:p>
        </w:tc>
        <w:tc>
          <w:tcPr>
            <w:tcW w:type="dxa" w:w="1661"/>
          </w:tcPr>
          <w:p>
            <w:pPr>
              <w:pStyle w:val="null3"/>
            </w:pPr>
            <w:r>
              <w:rPr>
                <w:rFonts w:ascii="仿宋_GB2312" w:hAnsi="仿宋_GB2312" w:cs="仿宋_GB2312" w:eastAsia="仿宋_GB2312"/>
              </w:rPr>
              <w:t>项目管理机构组成表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投标人不得为“信用中国”网站（www.creditchina.gov.cn）中列入失 信被执行人和重大税收违法 案件当事人名单的投标人，不得为中国政府采购网（w ww.ccgp.gov.cn）政府采购严重违法失信行 为记录名单中被财政部门禁止参加政 府采购活动的投标人（处罚决定规定的时间和地域范围内）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技术方案.docx 已标价工程量清单 供应商类似项目业绩一览表.docx 中小企业声明函 技术服务合同条款及其他商务要求应答表 强制优先采购产品承诺函 响应文件封面 项目管理机构组成表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技术方案.docx 已标价工程量清单 供应商类似项目业绩一览表.docx 中小企业声明函 技术服务合同条款及其他商务要求应答表 强制优先采购产品承诺函 响应文件封面 项目管理机构组成表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技术服务合同条款及其他商务要求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供应商针对本项目提供具体可行的施工方案。内容包括：①施工作业方案；②高处作业规 程；③夜间施工方案；④交叉施工方案；⑤施工防火方案等。评审标准：方案各部分内容 全面详细、阐述条理清晰详尽、符合本项目采购需求计 10 分，每缺一项内容扣2 分，每 有一项内容存在一处缺陷扣 1 分，扣完为止。注：评审内容“缺陷”是指：内容粗略、逻辑 混乱、描述过于简单、与项目特点不匹配、凭空编造、逻辑漏洞、出现常识性错误、存在 不适用项目实际情况的情形或只有标题没有实质性内容、不利于本项目目标的实现等任意 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针对本项目可能出现的问题及重大事故，供应商有具体可行的应急措施和解决方案，内容包括：①响应时间及人员安排②各类事故应急处置预案。 评审标准：方案各部分内容全面详细、阐述条理清晰详尽、符合本项目采购需求计 8 分，每缺一项内容扣2 分，每有一项内容存在一处缺陷扣 1 分，扣完为止。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安全生产与文明施工</w:t>
            </w:r>
          </w:p>
        </w:tc>
        <w:tc>
          <w:tcPr>
            <w:tcW w:type="dxa" w:w="2492"/>
          </w:tcPr>
          <w:p>
            <w:pPr>
              <w:pStyle w:val="null3"/>
            </w:pPr>
            <w:r>
              <w:rPr>
                <w:rFonts w:ascii="仿宋_GB2312" w:hAnsi="仿宋_GB2312" w:cs="仿宋_GB2312" w:eastAsia="仿宋_GB2312"/>
              </w:rPr>
              <w:t>供应商根据本项目要求，提供确保安全生产与文明施工的技术组织措施。内容包括：①安全文明施工保证计划②设施设备投入③管理体系要求④技术组织措施等。评审标准：方案各部分内容全面详细、阐述条理清晰详尽、符合本项目采购需求计 8 分，每缺一项内容扣2 分，每有一项内容存在一处缺陷扣 1 分，扣完为止。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w:t>
            </w:r>
          </w:p>
        </w:tc>
        <w:tc>
          <w:tcPr>
            <w:tcW w:type="dxa" w:w="2492"/>
          </w:tcPr>
          <w:p>
            <w:pPr>
              <w:pStyle w:val="null3"/>
            </w:pPr>
            <w:r>
              <w:rPr>
                <w:rFonts w:ascii="仿宋_GB2312" w:hAnsi="仿宋_GB2312" w:cs="仿宋_GB2312" w:eastAsia="仿宋_GB2312"/>
              </w:rPr>
              <w:t>供应商针对本项目提供确保工程质量的技术组织措施。内容包括：①工程质量目标；②质量控制方案；③质量管理体系等。 评审标准：方案各部分内容全面详细、阐述条理清晰详尽、符合本项目采购需求计 8 分，每缺一项内容扣2 分，每有一项内容存在一处缺陷扣 1 分，扣完为止。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供应商应提供内容完备、科学合理、针对性强的施工保修承诺书。 1、承诺书保修范围与 期限明确，响应机制合理可行，资源保障充足，计8分； 2、承诺书保修范围与期限基本 明确，响应机制可行性及资源保障一般，计4分； 3、未提供不计分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供应商针对本项目项目劳动力安排计划情况，内容至少包含：①人员配备数量及清单；② 人员职责与分工明确；③人员专业性及工作经验。 评审标准：项目团队配置各部分内容全 面详细、阐述条理清晰详尽、符合本项目采购需求计 6 分，每缺一项内容扣2 分，每有一 项内容存在一处缺陷扣 1 分，扣完为止。注：评审内容“缺陷”是指：内容粗略、逻辑混乱 、描述过于简单、与项目特点不匹配、凭空编造、逻辑漏洞、出现常识性错误、存在不适 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一、供应商针对本项目提供主要材料清单（清单内容包括但不限于材料名称、品牌、规格 、技术参数等）。1、清单内容全面，主材技术参数满足项目需求，计6 分；2、清单内容 基本全面，主材技术参数基本满足项目需求，计 4 分； 3、清单内容不全面，主材技术参 数与项目需求有细微偏差，计 2 分； 4、未提供不计分。 二、施工所需主材产品为节能 环保材料，提供相关证明材料，计 1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项目经理具有类似项目经验，每提供1 份2023 年1 月1 日至今业绩计 2分，最高 6 分。 注：需提供业绩合同或验收报告或中标公告截图，且合同或验收报告或中标公告截图中能 显示项目经理的名字。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2023年1月1日至今完成的类似项目业绩：每有一个类似项目业绩得2.5分,最高10分。注 ：业绩证明材料以中标通知书或合同为准，响应文件中附中标通知书或合同复印件并加盖 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 即满足磋商文件要求且最后磋商报价最低的报价为评 审基准价，其价格分为满分。其他供应商的价格 分统一按照下列公式计算：磋商报价得分 =【评审基准价/磋商报价( 最终二次报价）】×30； 2、本项目专门面向中小企业采购， 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