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4B483">
      <w:pPr>
        <w:pStyle w:val="2"/>
        <w:spacing w:before="0" w:after="0" w:line="480" w:lineRule="auto"/>
        <w:jc w:val="center"/>
        <w:rPr>
          <w:rFonts w:hint="eastAsia" w:ascii="宋体" w:hAnsi="宋体" w:eastAsia="宋体" w:cs="宋体"/>
          <w:b w:val="0"/>
          <w:bCs w:val="0"/>
          <w:sz w:val="28"/>
          <w:szCs w:val="28"/>
          <w:highlight w:val="none"/>
        </w:rPr>
      </w:pPr>
      <w:bookmarkStart w:id="7" w:name="_GoBack"/>
      <w:bookmarkEnd w:id="7"/>
      <w:r>
        <w:rPr>
          <w:rFonts w:hint="eastAsia" w:ascii="宋体" w:hAnsi="宋体" w:eastAsia="宋体" w:cs="宋体"/>
          <w:highlight w:val="none"/>
        </w:rPr>
        <w:t>合同条款</w:t>
      </w:r>
    </w:p>
    <w:p w14:paraId="41422738">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1"/>
        <w:rPr>
          <w:rFonts w:hint="eastAsia" w:ascii="宋体" w:hAnsi="宋体" w:eastAsia="宋体" w:cs="宋体"/>
          <w:b/>
          <w:color w:val="auto"/>
          <w:sz w:val="32"/>
          <w:szCs w:val="32"/>
        </w:rPr>
      </w:pPr>
      <w:bookmarkStart w:id="0" w:name="_Toc6401"/>
      <w:bookmarkStart w:id="1" w:name="_Toc14687"/>
      <w:r>
        <w:rPr>
          <w:rFonts w:hint="eastAsia" w:ascii="宋体" w:hAnsi="宋体" w:eastAsia="宋体" w:cs="宋体"/>
          <w:b/>
          <w:color w:val="auto"/>
          <w:sz w:val="32"/>
          <w:szCs w:val="32"/>
        </w:rPr>
        <w:t>第一节  合同协议书</w:t>
      </w:r>
      <w:bookmarkEnd w:id="0"/>
      <w:bookmarkEnd w:id="1"/>
    </w:p>
    <w:p w14:paraId="024DC0A2">
      <w:pPr>
        <w:pageBreakBefore w:val="0"/>
        <w:kinsoku/>
        <w:wordWrap/>
        <w:overflowPunct/>
        <w:topLinePunct w:val="0"/>
        <w:bidi w:val="0"/>
        <w:adjustRightInd w:val="0"/>
        <w:snapToGrid w:val="0"/>
        <w:spacing w:line="440" w:lineRule="exact"/>
        <w:ind w:right="-7" w:rightChars="-3" w:firstLine="140" w:firstLineChars="5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F0C924A">
      <w:pPr>
        <w:pageBreakBefore w:val="0"/>
        <w:tabs>
          <w:tab w:val="left" w:pos="630"/>
        </w:tabs>
        <w:kinsoku/>
        <w:wordWrap/>
        <w:overflowPunct/>
        <w:topLinePunct w:val="0"/>
        <w:bidi w:val="0"/>
        <w:adjustRightInd w:val="0"/>
        <w:snapToGrid w:val="0"/>
        <w:spacing w:line="440" w:lineRule="exact"/>
        <w:ind w:right="-7" w:rightChars="-3" w:firstLine="140" w:firstLineChars="5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p>
    <w:p w14:paraId="0BDA2D2E">
      <w:pPr>
        <w:pStyle w:val="5"/>
        <w:pageBreakBefore w:val="0"/>
        <w:tabs>
          <w:tab w:val="left" w:pos="0"/>
          <w:tab w:val="left" w:pos="1134"/>
        </w:tabs>
        <w:kinsoku/>
        <w:wordWrap/>
        <w:overflowPunct/>
        <w:topLinePunct w:val="0"/>
        <w:bidi w:val="0"/>
        <w:spacing w:line="440" w:lineRule="exact"/>
        <w:ind w:left="161" w:leftChars="67" w:right="-7" w:rightChars="-3" w:firstLine="467" w:firstLineChars="16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依照《</w:t>
      </w:r>
      <w:r>
        <w:rPr>
          <w:rFonts w:hint="eastAsia" w:eastAsia="宋体" w:cs="宋体"/>
          <w:b w:val="0"/>
          <w:bCs w:val="0"/>
          <w:color w:val="auto"/>
          <w:sz w:val="28"/>
          <w:szCs w:val="28"/>
          <w:lang w:val="en-US" w:eastAsia="zh-CN"/>
        </w:rPr>
        <w:t>民法典</w:t>
      </w:r>
      <w:r>
        <w:rPr>
          <w:rFonts w:hint="eastAsia" w:ascii="宋体" w:hAnsi="宋体" w:eastAsia="宋体" w:cs="宋体"/>
          <w:b w:val="0"/>
          <w:bCs w:val="0"/>
          <w:color w:val="auto"/>
          <w:sz w:val="28"/>
          <w:szCs w:val="28"/>
        </w:rPr>
        <w:t>》、《中华人民共和国建筑法》及其他有关法律、行政法规，遵循平等、自愿、公平和诚实信用的原则，双方就本建设工程施工协商一致，订立本合同。</w:t>
      </w:r>
    </w:p>
    <w:p w14:paraId="76E973CC">
      <w:pPr>
        <w:pStyle w:val="5"/>
        <w:pageBreakBefore w:val="0"/>
        <w:tabs>
          <w:tab w:val="left" w:pos="0"/>
          <w:tab w:val="left" w:pos="1134"/>
        </w:tabs>
        <w:kinsoku/>
        <w:wordWrap/>
        <w:overflowPunct/>
        <w:topLinePunct w:val="0"/>
        <w:bidi w:val="0"/>
        <w:spacing w:line="440" w:lineRule="exact"/>
        <w:ind w:left="458" w:leftChars="191" w:right="-7" w:rightChars="-3" w:firstLine="19" w:firstLineChars="6"/>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一、工程概况</w:t>
      </w:r>
    </w:p>
    <w:p w14:paraId="3016DF11">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工程名称：</w:t>
      </w:r>
      <w:r>
        <w:rPr>
          <w:rFonts w:hint="eastAsia" w:ascii="宋体" w:hAnsi="宋体" w:eastAsia="宋体" w:cs="宋体"/>
          <w:b w:val="0"/>
          <w:bCs w:val="0"/>
          <w:color w:val="auto"/>
          <w:sz w:val="28"/>
          <w:szCs w:val="28"/>
          <w:highlight w:val="none"/>
          <w:u w:val="single"/>
          <w:lang w:val="en-US" w:eastAsia="zh-CN"/>
        </w:rPr>
        <w:t xml:space="preserve">                                   </w:t>
      </w:r>
    </w:p>
    <w:p w14:paraId="5C9703CE">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工程地点：</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6122AC8">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附承包人承揽工程项目一览表(附表1)</w:t>
      </w:r>
    </w:p>
    <w:p w14:paraId="353FE3A3">
      <w:pPr>
        <w:pageBreakBefore w:val="0"/>
        <w:kinsoku/>
        <w:wordWrap/>
        <w:overflowPunct/>
        <w:topLinePunct w:val="0"/>
        <w:bidi w:val="0"/>
        <w:adjustRightInd w:val="0"/>
        <w:snapToGrid w:val="0"/>
        <w:spacing w:line="440" w:lineRule="exact"/>
        <w:ind w:firstLine="560" w:firstLineChars="200"/>
        <w:jc w:val="left"/>
        <w:textAlignment w:val="auto"/>
        <w:rPr>
          <w:rFonts w:hint="eastAsia" w:ascii="宋体" w:hAnsi="宋体" w:eastAsia="宋体" w:cs="宋体"/>
          <w:b w:val="0"/>
          <w:bCs w:val="0"/>
          <w:color w:val="auto"/>
          <w:sz w:val="28"/>
          <w:szCs w:val="28"/>
          <w:lang w:val="en-US"/>
        </w:rPr>
      </w:pPr>
      <w:r>
        <w:rPr>
          <w:rFonts w:hint="eastAsia" w:ascii="宋体" w:hAnsi="宋体" w:eastAsia="宋体" w:cs="宋体"/>
          <w:b w:val="0"/>
          <w:bCs w:val="0"/>
          <w:color w:val="auto"/>
          <w:sz w:val="28"/>
          <w:szCs w:val="28"/>
        </w:rPr>
        <w:t>工程立项文号：</w:t>
      </w:r>
      <w:r>
        <w:rPr>
          <w:rFonts w:hint="eastAsia" w:ascii="宋体" w:hAnsi="宋体" w:eastAsia="宋体" w:cs="宋体"/>
          <w:b w:val="0"/>
          <w:bCs w:val="0"/>
          <w:color w:val="auto"/>
          <w:sz w:val="28"/>
          <w:szCs w:val="28"/>
          <w:u w:val="single"/>
          <w:lang w:val="en-US" w:eastAsia="zh-CN"/>
        </w:rPr>
        <w:t xml:space="preserve">                               </w:t>
      </w:r>
    </w:p>
    <w:p w14:paraId="141AD229">
      <w:pPr>
        <w:pageBreakBefore w:val="0"/>
        <w:kinsoku/>
        <w:wordWrap/>
        <w:overflowPunct/>
        <w:topLinePunct w:val="0"/>
        <w:bidi w:val="0"/>
        <w:adjustRightInd w:val="0"/>
        <w:snapToGrid w:val="0"/>
        <w:spacing w:line="440" w:lineRule="exact"/>
        <w:ind w:firstLine="560" w:firstLineChars="200"/>
        <w:jc w:val="left"/>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资金来源：</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none"/>
        </w:rPr>
        <w:t xml:space="preserve">            </w:t>
      </w:r>
    </w:p>
    <w:p w14:paraId="04F2FA99">
      <w:pPr>
        <w:pageBreakBefore w:val="0"/>
        <w:numPr>
          <w:ilvl w:val="0"/>
          <w:numId w:val="1"/>
        </w:numPr>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32"/>
          <w:szCs w:val="32"/>
        </w:rPr>
        <w:t>工程承包范围</w:t>
      </w:r>
      <w:r>
        <w:rPr>
          <w:rFonts w:hint="eastAsia" w:ascii="宋体" w:hAnsi="宋体" w:eastAsia="宋体" w:cs="宋体"/>
          <w:b w:val="0"/>
          <w:bCs w:val="0"/>
          <w:color w:val="auto"/>
          <w:sz w:val="28"/>
          <w:szCs w:val="28"/>
        </w:rPr>
        <w:t xml:space="preserve"> </w:t>
      </w:r>
    </w:p>
    <w:p w14:paraId="7584F12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承包范围：</w:t>
      </w:r>
      <w:r>
        <w:rPr>
          <w:rFonts w:hint="eastAsia" w:ascii="宋体" w:hAnsi="宋体" w:eastAsia="宋体" w:cs="宋体"/>
          <w:b w:val="0"/>
          <w:bCs w:val="0"/>
          <w:snapToGrid w:val="0"/>
          <w:color w:val="auto"/>
          <w:sz w:val="28"/>
          <w:szCs w:val="28"/>
          <w:u w:val="single"/>
          <w:lang w:val="en-US" w:eastAsia="zh-CN"/>
        </w:rPr>
        <w:t xml:space="preserve">                       </w:t>
      </w:r>
    </w:p>
    <w:p w14:paraId="7491906C">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snapToGrid w:val="0"/>
          <w:color w:val="auto"/>
          <w:sz w:val="28"/>
          <w:szCs w:val="28"/>
        </w:rPr>
      </w:pPr>
      <w:r>
        <w:rPr>
          <w:rFonts w:hint="eastAsia" w:ascii="宋体" w:hAnsi="宋体" w:eastAsia="宋体" w:cs="宋体"/>
          <w:b w:val="0"/>
          <w:bCs w:val="0"/>
          <w:color w:val="auto"/>
          <w:sz w:val="28"/>
          <w:szCs w:val="28"/>
        </w:rPr>
        <w:t>不包括的工程范围: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CDCC1D2">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三、合同工期</w:t>
      </w:r>
    </w:p>
    <w:p w14:paraId="0A0E5C32">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总日历天数</w:t>
      </w:r>
      <w:r>
        <w:rPr>
          <w:rFonts w:hint="eastAsia" w:ascii="宋体" w:hAnsi="宋体" w:eastAsia="宋体" w:cs="宋体"/>
          <w:b w:val="0"/>
          <w:bCs w:val="0"/>
          <w:color w:val="auto"/>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rPr>
        <w:t>日历天</w:t>
      </w:r>
    </w:p>
    <w:p w14:paraId="5A693B8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开工日期：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21B773D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竣工日期：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797039C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四、质量标准</w:t>
      </w:r>
    </w:p>
    <w:p w14:paraId="14C4E95F">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工程质量标准：</w:t>
      </w:r>
      <w:r>
        <w:rPr>
          <w:rFonts w:hint="eastAsia" w:ascii="宋体" w:hAnsi="宋体" w:eastAsia="宋体" w:cs="宋体"/>
          <w:b w:val="0"/>
          <w:bCs w:val="0"/>
          <w:color w:val="auto"/>
          <w:sz w:val="28"/>
          <w:szCs w:val="28"/>
          <w:u w:val="single"/>
        </w:rPr>
        <w:t xml:space="preserve">   合格   </w:t>
      </w:r>
      <w:r>
        <w:rPr>
          <w:rFonts w:hint="eastAsia" w:ascii="宋体" w:hAnsi="宋体" w:eastAsia="宋体" w:cs="宋体"/>
          <w:b w:val="0"/>
          <w:bCs w:val="0"/>
          <w:color w:val="auto"/>
          <w:sz w:val="28"/>
          <w:szCs w:val="28"/>
        </w:rPr>
        <w:t>。</w:t>
      </w:r>
    </w:p>
    <w:p w14:paraId="2E4D4BF4">
      <w:pPr>
        <w:pageBreakBefore w:val="0"/>
        <w:kinsoku/>
        <w:wordWrap/>
        <w:overflowPunct/>
        <w:topLinePunct w:val="0"/>
        <w:bidi w:val="0"/>
        <w:adjustRightInd w:val="0"/>
        <w:snapToGrid w:val="0"/>
        <w:spacing w:line="440" w:lineRule="exact"/>
        <w:ind w:right="-7" w:rightChars="-3" w:firstLine="419" w:firstLineChars="131"/>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五、合同价款</w:t>
      </w:r>
    </w:p>
    <w:p w14:paraId="4699BF2A">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1、合同总价(大写)：</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(人民币)元</w:t>
      </w:r>
    </w:p>
    <w:p w14:paraId="2DC292B0">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(小写)￥：</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元</w:t>
      </w:r>
      <w:r>
        <w:rPr>
          <w:rFonts w:hint="eastAsia" w:ascii="宋体" w:hAnsi="宋体" w:eastAsia="宋体" w:cs="宋体"/>
          <w:b w:val="0"/>
          <w:bCs w:val="0"/>
          <w:color w:val="auto"/>
          <w:sz w:val="28"/>
          <w:szCs w:val="28"/>
          <w:lang w:eastAsia="zh-CN"/>
        </w:rPr>
        <w:t>。</w:t>
      </w:r>
    </w:p>
    <w:p w14:paraId="7595027D">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2、综合单价：详见承包人的报价书。</w:t>
      </w:r>
    </w:p>
    <w:p w14:paraId="22E6768A">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六、组成合同的文件</w:t>
      </w:r>
    </w:p>
    <w:p w14:paraId="21A2480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组成本合同的文件包括：</w:t>
      </w:r>
    </w:p>
    <w:p w14:paraId="329DFEC3">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本合同协议书 </w:t>
      </w:r>
    </w:p>
    <w:p w14:paraId="448AD57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本合同专用条款</w:t>
      </w:r>
    </w:p>
    <w:p w14:paraId="2ECDBEBE">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本合同通用条款</w:t>
      </w:r>
    </w:p>
    <w:p w14:paraId="17C2DFE3">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中标通知书</w:t>
      </w:r>
    </w:p>
    <w:p w14:paraId="6E23930B">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投标书、工程报价单或预算书及其附件</w:t>
      </w:r>
    </w:p>
    <w:p w14:paraId="6984236F">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招标文件、答疑纪要及工程量清单</w:t>
      </w:r>
    </w:p>
    <w:p w14:paraId="237F45B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图纸</w:t>
      </w:r>
    </w:p>
    <w:p w14:paraId="339146CC">
      <w:pPr>
        <w:pageBreakBefore w:val="0"/>
        <w:numPr>
          <w:ilvl w:val="1"/>
          <w:numId w:val="2"/>
        </w:numPr>
        <w:tabs>
          <w:tab w:val="left" w:pos="525"/>
          <w:tab w:val="clear" w:pos="1260"/>
        </w:tabs>
        <w:kinsoku/>
        <w:wordWrap/>
        <w:overflowPunct/>
        <w:topLinePunct w:val="0"/>
        <w:bidi w:val="0"/>
        <w:adjustRightInd w:val="0"/>
        <w:snapToGrid w:val="0"/>
        <w:spacing w:line="440" w:lineRule="exact"/>
        <w:ind w:left="0"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标准、规范及有关技术文件</w:t>
      </w:r>
    </w:p>
    <w:p w14:paraId="31A87FD3">
      <w:pPr>
        <w:pageBreakBefore w:val="0"/>
        <w:tabs>
          <w:tab w:val="left" w:pos="525"/>
        </w:tabs>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双方为履行本合同的有关洽商、变更等书面协议、文件视为本合同的组成部分。</w:t>
      </w:r>
    </w:p>
    <w:p w14:paraId="0869DEBE">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七、本协议书中有关词语含义与本合同第二部分《通用条款》中赋予的定义相同。</w:t>
      </w:r>
    </w:p>
    <w:p w14:paraId="284435FE">
      <w:pPr>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八、承包人按照合同约定进行施工、竣工并在质量保修期内承担工程质量保修责任。</w:t>
      </w:r>
    </w:p>
    <w:p w14:paraId="26867F51">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九、发包人按照合同约定的期限和方式支付合同价款及其他应当支付的款项。</w:t>
      </w:r>
    </w:p>
    <w:p w14:paraId="2053C83E">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十、合同生效</w:t>
      </w:r>
    </w:p>
    <w:p w14:paraId="65B6309B">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10.1合同订立时间：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日</w:t>
      </w:r>
    </w:p>
    <w:p w14:paraId="6A0FABB0">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10.2合同订立地点：</w:t>
      </w:r>
      <w:r>
        <w:rPr>
          <w:rFonts w:hint="eastAsia" w:ascii="宋体" w:hAnsi="宋体" w:eastAsia="宋体" w:cs="宋体"/>
          <w:b w:val="0"/>
          <w:bCs w:val="0"/>
          <w:color w:val="auto"/>
          <w:sz w:val="28"/>
          <w:szCs w:val="28"/>
          <w:u w:val="single"/>
          <w:lang w:val="en-US" w:eastAsia="zh-CN"/>
        </w:rPr>
        <w:t xml:space="preserve">                      </w:t>
      </w:r>
    </w:p>
    <w:p w14:paraId="5E16EC47">
      <w:pPr>
        <w:pageBreakBefore w:val="0"/>
        <w:kinsoku/>
        <w:wordWrap/>
        <w:overflowPunct/>
        <w:topLinePunct w:val="0"/>
        <w:bidi w:val="0"/>
        <w:adjustRightInd w:val="0"/>
        <w:snapToGrid w:val="0"/>
        <w:spacing w:line="440" w:lineRule="exact"/>
        <w:ind w:right="-7" w:rightChars="-3" w:firstLine="610" w:firstLineChars="218"/>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8"/>
          <w:szCs w:val="28"/>
        </w:rPr>
        <w:t>10.3本合同双方约定</w:t>
      </w:r>
      <w:r>
        <w:rPr>
          <w:rFonts w:hint="eastAsia" w:ascii="宋体" w:hAnsi="宋体" w:eastAsia="宋体" w:cs="宋体"/>
          <w:b w:val="0"/>
          <w:bCs w:val="0"/>
          <w:color w:val="auto"/>
          <w:sz w:val="28"/>
          <w:szCs w:val="28"/>
          <w:u w:val="single"/>
        </w:rPr>
        <w:t>签字、盖章</w:t>
      </w:r>
      <w:r>
        <w:rPr>
          <w:rFonts w:hint="eastAsia" w:ascii="宋体" w:hAnsi="宋体" w:eastAsia="宋体" w:cs="宋体"/>
          <w:b w:val="0"/>
          <w:bCs w:val="0"/>
          <w:color w:val="auto"/>
          <w:sz w:val="28"/>
          <w:szCs w:val="28"/>
        </w:rPr>
        <w:t>后生效。</w:t>
      </w:r>
    </w:p>
    <w:p w14:paraId="2236547A">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4"/>
        </w:rPr>
        <w:t xml:space="preserve">   </w:t>
      </w:r>
      <w:r>
        <w:rPr>
          <w:rFonts w:hint="eastAsia" w:ascii="宋体" w:hAnsi="宋体" w:eastAsia="宋体" w:cs="宋体"/>
          <w:b w:val="0"/>
          <w:bCs w:val="0"/>
          <w:color w:val="auto"/>
          <w:sz w:val="28"/>
          <w:szCs w:val="28"/>
        </w:rPr>
        <w:t xml:space="preserve"> 发包人：（公章）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 xml:space="preserve">       承包人：（公章）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499BB199">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地址：</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地址：</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5168F80">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邮政编码：</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邮政编码：</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B448FA1">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法定代表</w:t>
      </w:r>
      <w:r>
        <w:rPr>
          <w:rFonts w:hint="eastAsia" w:ascii="宋体" w:hAnsi="宋体" w:eastAsia="宋体" w:cs="宋体"/>
          <w:b w:val="0"/>
          <w:bCs w:val="0"/>
          <w:color w:val="auto"/>
          <w:sz w:val="28"/>
          <w:szCs w:val="28"/>
          <w:lang w:val="en-US" w:eastAsia="zh-CN"/>
        </w:rPr>
        <w:t>人或</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 xml:space="preserve">  法定代表</w:t>
      </w:r>
      <w:r>
        <w:rPr>
          <w:rFonts w:hint="eastAsia" w:ascii="宋体" w:hAnsi="宋体" w:eastAsia="宋体" w:cs="宋体"/>
          <w:b w:val="0"/>
          <w:bCs w:val="0"/>
          <w:color w:val="auto"/>
          <w:sz w:val="28"/>
          <w:szCs w:val="28"/>
          <w:lang w:val="en-US" w:eastAsia="zh-CN"/>
        </w:rPr>
        <w:t>人或</w:t>
      </w:r>
    </w:p>
    <w:p w14:paraId="4ADAD7DB">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委托代表人</w:t>
      </w:r>
      <w:r>
        <w:rPr>
          <w:rFonts w:hint="eastAsia" w:ascii="宋体" w:hAnsi="宋体" w:eastAsia="宋体" w:cs="宋体"/>
          <w:b w:val="0"/>
          <w:bCs w:val="0"/>
          <w:color w:val="auto"/>
          <w:sz w:val="28"/>
          <w:szCs w:val="28"/>
          <w:lang w:val="en-US" w:eastAsia="zh-CN"/>
        </w:rPr>
        <w:t>签字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none"/>
        </w:rPr>
        <w:t xml:space="preserve">      </w:t>
      </w:r>
      <w:r>
        <w:rPr>
          <w:rFonts w:hint="eastAsia" w:ascii="宋体" w:hAnsi="宋体" w:eastAsia="宋体" w:cs="宋体"/>
          <w:b w:val="0"/>
          <w:bCs w:val="0"/>
          <w:color w:val="auto"/>
          <w:sz w:val="28"/>
          <w:szCs w:val="28"/>
        </w:rPr>
        <w:t xml:space="preserve"> 委托代表人</w:t>
      </w:r>
      <w:r>
        <w:rPr>
          <w:rFonts w:hint="eastAsia" w:ascii="宋体" w:hAnsi="宋体" w:eastAsia="宋体" w:cs="宋体"/>
          <w:b w:val="0"/>
          <w:bCs w:val="0"/>
          <w:color w:val="auto"/>
          <w:sz w:val="28"/>
          <w:szCs w:val="28"/>
          <w:lang w:val="en-US" w:eastAsia="zh-CN"/>
        </w:rPr>
        <w:t>签字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u w:val="single"/>
        </w:rPr>
        <w:t xml:space="preserve">                   </w:t>
      </w:r>
    </w:p>
    <w:p w14:paraId="17A43049">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电话：</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电话：</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2FA173E6">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传真：</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传真：</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1C1DA462">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开户银行：</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开户银行：</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7865AAC2">
      <w:pPr>
        <w:pageBreakBefore w:val="0"/>
        <w:kinsoku/>
        <w:wordWrap/>
        <w:overflowPunct/>
        <w:topLinePunct w:val="0"/>
        <w:bidi w:val="0"/>
        <w:adjustRightInd w:val="0"/>
        <w:snapToGrid w:val="0"/>
        <w:spacing w:line="440" w:lineRule="exact"/>
        <w:ind w:right="-7" w:rightChars="-3" w:firstLine="490" w:firstLineChars="175"/>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账号：</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rPr>
        <w:t>账号：</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tbl>
      <w:tblPr>
        <w:tblStyle w:val="6"/>
        <w:tblpPr w:leftFromText="180" w:rightFromText="180" w:vertAnchor="text" w:horzAnchor="page" w:tblpX="1395" w:tblpY="5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0"/>
      </w:tblGrid>
      <w:tr w14:paraId="7B44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trPr>
        <w:tc>
          <w:tcPr>
            <w:tcW w:w="9680" w:type="dxa"/>
            <w:noWrap w:val="0"/>
            <w:vAlign w:val="top"/>
          </w:tcPr>
          <w:p w14:paraId="23348C2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建设行政管理部门备案意见：</w:t>
            </w:r>
          </w:p>
          <w:p w14:paraId="5BCF1F5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70B04B96">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4199620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p w14:paraId="5F338B27">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8"/>
                <w:szCs w:val="28"/>
              </w:rPr>
            </w:pPr>
          </w:p>
        </w:tc>
      </w:tr>
    </w:tbl>
    <w:p w14:paraId="2D7FD4C0">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1"/>
        <w:rPr>
          <w:rFonts w:hint="eastAsia" w:ascii="宋体" w:hAnsi="宋体" w:eastAsia="宋体" w:cs="宋体"/>
          <w:b w:val="0"/>
          <w:bCs w:val="0"/>
          <w:color w:val="auto"/>
          <w:sz w:val="28"/>
          <w:szCs w:val="28"/>
        </w:rPr>
      </w:pPr>
      <w:bookmarkStart w:id="2" w:name="_Toc31230"/>
      <w:bookmarkStart w:id="3" w:name="_Toc17624"/>
      <w:r>
        <w:rPr>
          <w:rFonts w:hint="eastAsia" w:ascii="宋体" w:hAnsi="宋体" w:eastAsia="宋体" w:cs="宋体"/>
          <w:b w:val="0"/>
          <w:bCs w:val="0"/>
          <w:color w:val="auto"/>
          <w:sz w:val="28"/>
          <w:szCs w:val="28"/>
          <w:lang w:val="en-US" w:eastAsia="zh-CN"/>
        </w:rPr>
        <w:t>纳税人识别号：</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 xml:space="preserve">      </w:t>
      </w:r>
      <w:r>
        <w:rPr>
          <w:rFonts w:hint="eastAsia" w:ascii="宋体" w:hAnsi="宋体" w:eastAsia="宋体" w:cs="宋体"/>
          <w:b w:val="0"/>
          <w:bCs w:val="0"/>
          <w:color w:val="auto"/>
          <w:sz w:val="28"/>
          <w:szCs w:val="28"/>
          <w:lang w:val="en-US" w:eastAsia="zh-CN"/>
        </w:rPr>
        <w:t>纳税人识别号：</w:t>
      </w:r>
      <w:bookmarkEnd w:id="2"/>
      <w:bookmarkEnd w:id="3"/>
      <w:r>
        <w:rPr>
          <w:rFonts w:hint="eastAsia" w:ascii="宋体" w:hAnsi="宋体" w:eastAsia="宋体" w:cs="宋体"/>
          <w:b w:val="0"/>
          <w:bCs w:val="0"/>
          <w:color w:val="auto"/>
          <w:sz w:val="28"/>
          <w:szCs w:val="28"/>
          <w:u w:val="single"/>
          <w:lang w:val="en-US" w:eastAsia="zh-CN"/>
        </w:rPr>
        <w:t xml:space="preserve">        </w:t>
      </w:r>
    </w:p>
    <w:p w14:paraId="1E9659F3">
      <w:pPr>
        <w:numPr>
          <w:ilvl w:val="0"/>
          <w:numId w:val="3"/>
        </w:numPr>
        <w:spacing w:line="360" w:lineRule="auto"/>
        <w:jc w:val="center"/>
        <w:outlineLvl w:val="1"/>
        <w:rPr>
          <w:rFonts w:hint="eastAsia" w:ascii="宋体" w:hAnsi="宋体" w:eastAsia="宋体" w:cs="宋体"/>
          <w:b/>
          <w:color w:val="auto"/>
          <w:sz w:val="28"/>
          <w:szCs w:val="28"/>
        </w:rPr>
      </w:pPr>
      <w:bookmarkStart w:id="4" w:name="_Toc32270"/>
      <w:r>
        <w:rPr>
          <w:rFonts w:hint="eastAsia" w:ascii="宋体" w:hAnsi="宋体" w:eastAsia="宋体" w:cs="宋体"/>
          <w:b/>
          <w:color w:val="auto"/>
          <w:sz w:val="28"/>
          <w:szCs w:val="28"/>
        </w:rPr>
        <w:t xml:space="preserve"> </w:t>
      </w:r>
      <w:bookmarkStart w:id="5" w:name="_Toc30523"/>
      <w:r>
        <w:rPr>
          <w:rFonts w:hint="eastAsia" w:ascii="宋体" w:hAnsi="宋体" w:eastAsia="宋体" w:cs="宋体"/>
          <w:b/>
          <w:color w:val="auto"/>
          <w:sz w:val="28"/>
          <w:szCs w:val="28"/>
        </w:rPr>
        <w:t>通用合同条款</w:t>
      </w:r>
      <w:bookmarkEnd w:id="4"/>
      <w:bookmarkEnd w:id="5"/>
    </w:p>
    <w:p w14:paraId="3CA761E6">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一、词语定义及合同文件</w:t>
      </w:r>
    </w:p>
    <w:p w14:paraId="25B46A08">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１、词语定义</w:t>
      </w:r>
    </w:p>
    <w:p w14:paraId="7F2513A7">
      <w:pPr>
        <w:pStyle w:val="5"/>
        <w:pageBreakBefore w:val="0"/>
        <w:tabs>
          <w:tab w:val="left" w:pos="0"/>
          <w:tab w:val="left" w:pos="1134"/>
        </w:tabs>
        <w:kinsoku/>
        <w:wordWrap/>
        <w:overflowPunct/>
        <w:topLinePunct w:val="0"/>
        <w:bidi w:val="0"/>
        <w:spacing w:line="440" w:lineRule="exact"/>
        <w:ind w:left="161" w:leftChars="67" w:right="-7" w:rightChars="-3" w:firstLine="467" w:firstLineChars="16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下列词语除专用条款另有约定外，应具有本条所赋予的定义：</w:t>
      </w:r>
    </w:p>
    <w:p w14:paraId="64E62F3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1.1通用条款： 是根据法律、行政法规规定及建设工程施工的需要订立，通用于建设工程施工的条款。</w:t>
      </w:r>
    </w:p>
    <w:p w14:paraId="213EE98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1.2专用条款： 是发包人与承包人根据法律、行政法规规定，结合具体工程实际，经协商达成一致意见的条款，是对通用条款的具体化、补充或修改。</w:t>
      </w:r>
    </w:p>
    <w:p w14:paraId="04AFE47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1.3发包人： 指在协议书中约定，具有工程发包主体资格和支付工程价款能力的当事人以及取得该当事人资格的合法继承人。</w:t>
      </w:r>
    </w:p>
    <w:p w14:paraId="6C82DF9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1.4承包人： 指在协议书中约定，被发包人接受的具有工程施工承包主体资格的当事人以及取得该当事人资格的合法继承人。</w:t>
      </w:r>
    </w:p>
    <w:p w14:paraId="1B78EC5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1.5项目经理：指承包人在专用条款中指定的负责施工管理和合同履行的代表。</w:t>
      </w:r>
    </w:p>
    <w:p w14:paraId="5A68A6F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1.6设计单位：指发包人委托的负责本工程设计并取得相应工程设计资质等级证书的单位。</w:t>
      </w:r>
    </w:p>
    <w:p w14:paraId="2B92139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1.7监理单位：指发包人委托的负责本工程监理并取得相应工程监理资质等级证书的单位。</w:t>
      </w:r>
    </w:p>
    <w:p w14:paraId="6E1008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1.8工程师： 指本工程监理单位委派的总监理工程师或发包人指定的履行本合同的代表，其具体身份和职权由发包人承包人在专用条款中约定。</w:t>
      </w:r>
    </w:p>
    <w:p w14:paraId="1FDD28E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1.9工程造价管理部门： 指国务院有关部门、县级以上人民政府建设行政主管部门或其委托的工程造价管理机构。</w:t>
      </w:r>
    </w:p>
    <w:p w14:paraId="2EDD99D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1.10工程：指发包人承包人在协议书中约定的承包范围内的工程。</w:t>
      </w:r>
    </w:p>
    <w:p w14:paraId="177B27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1.11合同价款：指发包人承包人在协议书中约定，发包人用以支付承包人按照合同约定完成承包范围内全部工程并承担质量保修责任的款项。</w:t>
      </w:r>
    </w:p>
    <w:p w14:paraId="78636BE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1.12追加合同价款：指在合同履行中发生需要增加合同价款的情况，经发包人确认后按计算合同价款的方法增加的合同价款。</w:t>
      </w:r>
    </w:p>
    <w:p w14:paraId="678C43C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1.13费用：指不包含在合同价款之内的应当由发包人或承包人承担的经济支出。</w:t>
      </w:r>
    </w:p>
    <w:p w14:paraId="74A64A3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1.14工期：指发包人承包人在协议书中约定，按总日历天数（包括法定节假日）计算的承包天数。</w:t>
      </w:r>
    </w:p>
    <w:p w14:paraId="6B9A88F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1.15开工日期：指发包人承包人在协议书中约定，承包人开始施工的绝对或相对的日期。</w:t>
      </w:r>
    </w:p>
    <w:p w14:paraId="03789DE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1.16竣工日期：指发包人承包人在协议书约定，承包人完成承包范围内工程的绝对或相对的日期。</w:t>
      </w:r>
    </w:p>
    <w:p w14:paraId="324C055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1.17图纸：指由发包人提供或由承包人提供并经发包人批准，满足承包人施工需要的所有图纸（包括配套说明和有关资料）。</w:t>
      </w:r>
    </w:p>
    <w:p w14:paraId="470D0CE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1.18施工场地：指由发包人提供的用于工程施工的场所以及发包人在图纸中具体指定的供施工使用的任何其他场所。1.19书面形式：指合同书、信件和数据电文（包括电报、电传、传真、电子数据交换和电子邮件）等可以有形地表现所载内容的形式。</w:t>
      </w:r>
    </w:p>
    <w:p w14:paraId="2FF1BC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1.20违约责任：指合同一方不履行合同义务或履行合同义务不符合约定所应承担的责任。</w:t>
      </w:r>
    </w:p>
    <w:p w14:paraId="23C567F4">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1.21索赔：指在合同履行过程中，对于并非自己的过错，而是应由对方承担责任的情况造成的实际损失，向对方提出经济补偿和（或）工期顺延的要求。</w:t>
      </w:r>
    </w:p>
    <w:p w14:paraId="227753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1.22不可抗力：指不能预见、不能避免并不能克服的客观情况。</w:t>
      </w:r>
    </w:p>
    <w:p w14:paraId="2539C5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A4B2F5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２、合同文件及解释顺序</w:t>
      </w:r>
    </w:p>
    <w:p w14:paraId="10F621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2.1合同文件应能相互解释， 互为说明。除专用条款另有约定外，组成本合同的文件及优先解释顺序如下：</w:t>
      </w:r>
    </w:p>
    <w:p w14:paraId="1ACB182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（1）本合同协议书</w:t>
      </w:r>
    </w:p>
    <w:p w14:paraId="0D345ED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（2）中标通知书</w:t>
      </w:r>
    </w:p>
    <w:p w14:paraId="4F6EA3E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（3）投标书及其附件</w:t>
      </w:r>
    </w:p>
    <w:p w14:paraId="1F4479D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（4）本合同专用条款</w:t>
      </w:r>
    </w:p>
    <w:p w14:paraId="74A5B68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（5）本合同通用条款</w:t>
      </w:r>
    </w:p>
    <w:p w14:paraId="7D0F2B1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（6）标准、规范及有关技术文件</w:t>
      </w:r>
    </w:p>
    <w:p w14:paraId="1AE62F4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（7）图纸</w:t>
      </w:r>
    </w:p>
    <w:p w14:paraId="1499AC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（8）工程量清单</w:t>
      </w:r>
    </w:p>
    <w:p w14:paraId="33EEB26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（9）工程报价单或预算书</w:t>
      </w:r>
    </w:p>
    <w:p w14:paraId="673E4FF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合同履行中，发包人承包人有关工程的洽商、变更等书面协议或文件视为本合同的组成部分。</w:t>
      </w:r>
    </w:p>
    <w:p w14:paraId="61DBE4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2.2当合同文件内容含糊不清或不相一致时， 在不影响工程正常进行的情况下，由发包人承包人协商解决。双方也可以提请负责监理的工程师作出解释。双方协商不成或不同意负责监理的工程师作出解释。双方协商不成或不同意负责监理的工程师的解释时，按本通用条款第37条关于争议的约定处理。</w:t>
      </w:r>
    </w:p>
    <w:p w14:paraId="2EDC740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３、语言文字和适用法律、标准及规范 3.1语言文字</w:t>
      </w:r>
    </w:p>
    <w:p w14:paraId="57112EE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本合同文件使用汉语语言文字书写、解释和说明。如专用条款约定使用两种以上（含两种）语言文字时，汉语应为解释和说明本合同的标准语言文字。</w:t>
      </w:r>
    </w:p>
    <w:p w14:paraId="02AC1E8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在少数民族地区，双方可以约定使用少数民族语言文字书写和解释、说明本合同。</w:t>
      </w:r>
    </w:p>
    <w:p w14:paraId="7814E10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3.2适用法律和法规</w:t>
      </w:r>
    </w:p>
    <w:p w14:paraId="3C7700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本合同文件适用国家的法律和行政法规。需要明示的法律、行政法规，由双方在专用条款中约定。</w:t>
      </w:r>
    </w:p>
    <w:p w14:paraId="122ECE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3.3适用标准、规范</w:t>
      </w:r>
    </w:p>
    <w:p w14:paraId="2F49D6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C236FD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6B7695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本条所发生的购买、翻译标准、规范或制定施工工艺的费用，由发包人承担。</w:t>
      </w:r>
    </w:p>
    <w:p w14:paraId="11E5258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４、图纸</w:t>
      </w:r>
    </w:p>
    <w:p w14:paraId="71626AB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4.1发包人应按专用条款约定的日期和套数， 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DC9D82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4.2承包人未经发包人同意， 不得将本工程图纸转给第三人。工程质量保修期满后，除承包人存档需要的图纸外，应将全部图纸退还给发包人。</w:t>
      </w:r>
    </w:p>
    <w:p w14:paraId="529DE5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4.3承包人应在施工现场保留一套完整图纸， 供工程师及有关人员进行工程检查时使用。</w:t>
      </w:r>
    </w:p>
    <w:p w14:paraId="7D5C0C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二、双方一般权利和义务</w:t>
      </w:r>
    </w:p>
    <w:p w14:paraId="53EF31A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５、工程师</w:t>
      </w:r>
    </w:p>
    <w:p w14:paraId="3F2A3E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5.1实行工程监理的， 发包人应在实施监理前将委托的监理单位名称、监理内容及监理权限以书面形式通知承包人。</w:t>
      </w:r>
    </w:p>
    <w:p w14:paraId="643C74D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AB4876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704FB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5.4合同履行中， 发生影响发包人承包人双方权利或义务的事件时，负责监理的工程师应依据合同在其职权范围内客观公正地进行处理。一方对工程师的处理有异议时，按本通用条款第37条关于争议的约定处理。</w:t>
      </w:r>
    </w:p>
    <w:p w14:paraId="56B5BBA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5.5除合同内有明确约定或经发包人同意外， 负责监理的工程师无权解除本合同约定的承包人的任何权利与义务。</w:t>
      </w:r>
    </w:p>
    <w:p w14:paraId="6EA5FC0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5.6不实行工程监理的， 本合同中工程师专指发包人派驻施工场地履行合同的代表，其具体职权由发包人在专用条款内写明。</w:t>
      </w:r>
    </w:p>
    <w:p w14:paraId="49BEDA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６、工程师的委派和指令</w:t>
      </w:r>
    </w:p>
    <w:p w14:paraId="6FEFF89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6.1工程师可委派工程师代表， 行使合同约定的自己的职权， 并可在认为必要时撤回委派。委派和撤回均应提前7天以书面形式通知承包人，负责监理的工程师还应将委派和撤回通知发包人。委派书和撤回通知作为本合同附件。</w:t>
      </w:r>
    </w:p>
    <w:p w14:paraId="63CCEB5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FA9DFE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除工程师或工程师代表外，发包人派驻工地的其他人员均无权向承包人发出任何指令。</w:t>
      </w:r>
    </w:p>
    <w:p w14:paraId="525826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6.2工程师的指令、 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2E37FF3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432794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本款规定同样适用于由工程师代表发出的指令、通知。</w:t>
      </w:r>
    </w:p>
    <w:p w14:paraId="4B860F8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8014B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6.4如需更换工程师，发包人应至少提前7天以书面形式通知承包人，后任继续行使合同文件约定的前任的职权，履行前任的义务。</w:t>
      </w:r>
    </w:p>
    <w:p w14:paraId="5345F4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７、项目经理</w:t>
      </w:r>
    </w:p>
    <w:p w14:paraId="5C8B4F1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7.1项目经理的姓名、职务在专用条款内写明。</w:t>
      </w:r>
    </w:p>
    <w:p w14:paraId="511080A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7.2承包人依据合同发出的通知， 以书面形式由项目经理签字后送交工程师，工程师在回执上签署姓名和收到时间后生效。</w:t>
      </w:r>
    </w:p>
    <w:p w14:paraId="08AE93E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关交报告。责任在发包人或第三人，由发包人承担由此发生的追加合同价款，相应顺延工期；责任在承包人，由承包人承担费用，不顺延工期。</w:t>
      </w:r>
    </w:p>
    <w:p w14:paraId="42AF339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7.4承包人如需要更换项目经理，应至少提前7天以书面形式通知发包人，关征得发包人同意。后任继续行使合同文件约定的前任的职权，履行前任的义务。</w:t>
      </w:r>
    </w:p>
    <w:p w14:paraId="0513E64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7.5发包人可以与承包人协商， 建议更换其认为不称职的项目经理。</w:t>
      </w:r>
    </w:p>
    <w:p w14:paraId="300C6B3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８、发包人工作</w:t>
      </w:r>
    </w:p>
    <w:p w14:paraId="7A01E97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8.1发包人按专用条款约定的内容和时间完成以下工作：</w:t>
      </w:r>
    </w:p>
    <w:p w14:paraId="2C7594E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（1）办理土地征用、拆迁补偿、平整施工场地等工作，使施工场地具备施工条件，在开工后继续负责解决以上事项遗留问题；</w:t>
      </w:r>
    </w:p>
    <w:p w14:paraId="1049DF3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（2）将施工所需水、电、电讯线路从施工场地外部接至专用条款约定地点，保证施工期间的需要；</w:t>
      </w:r>
    </w:p>
    <w:p w14:paraId="6A9CE01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（3）开通施工场地与城乡公共道路的通道，以及专用条款约定的施工场地内的主要道路，满足施工运输的需要，保证施工期间的畅通；</w:t>
      </w:r>
    </w:p>
    <w:p w14:paraId="6915995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（4）向承包人提供施工场地的工程地质和地下管线资料，对资料的真实准确性负责；</w:t>
      </w:r>
    </w:p>
    <w:p w14:paraId="0EA1C9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（5）办理施工许可证及其他施工所需证件、批件和临时用地、停水、停电、中断道路交通、爆破作业等的申请批准手续（证明承包人自身资质的证件除外）；</w:t>
      </w:r>
    </w:p>
    <w:p w14:paraId="6C258A6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（6）确定水准点与座标控制点，以书面形式交给承包人，进行现场交验；</w:t>
      </w:r>
    </w:p>
    <w:p w14:paraId="4165BF1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（7）组织承包人和设计单位进行图纸会审和设计交底；</w:t>
      </w:r>
    </w:p>
    <w:p w14:paraId="5494BC9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（8）协调处理施工场地周围地下管线和邻近建筑物、构筑物（包括文物保护建筑）、古树名木的保护工作、承担有关费用； </w:t>
      </w:r>
    </w:p>
    <w:p w14:paraId="614A4B0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（9）发包人应做的其他工作，双方在专用条款内约定。 </w:t>
      </w:r>
    </w:p>
    <w:p w14:paraId="1455F5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8.2发包人可以将8.1款部分工作委托承包人办理，双方在专用条款内约定，其费用由发包人承担。 8.3发包人未能履行8.1款各项义务，导致工期延误或给承包人造成损失的，发包人赔偿承包人有关损失，顺延延误的工期。 </w:t>
      </w:r>
    </w:p>
    <w:p w14:paraId="1F2BA3D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９、承包人工作 </w:t>
      </w:r>
    </w:p>
    <w:p w14:paraId="1F23FF3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9.1承包人按专用条款约定的内容和时间完成以下工作： </w:t>
      </w:r>
    </w:p>
    <w:p w14:paraId="1CD1ADD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（1）根据发包人委托，在其设计资质等级和业务允许的范围内，完成施工图设计或与工程配套的设计，经工程师确认后使用，发包人承担由此发生的费用； </w:t>
      </w:r>
    </w:p>
    <w:p w14:paraId="5DDD48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（2）向工程师提供年、季、月度工程进度计划及相应进度统计报表； </w:t>
      </w:r>
    </w:p>
    <w:p w14:paraId="2AD006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（3）根据工程需要，提供和维修非夜间施工使用的照明、围栏设施，产负责安全保卫； </w:t>
      </w:r>
    </w:p>
    <w:p w14:paraId="3C8E161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（4）按专用条款约定的数量和要求，向发包人提供施工场地办公和生活的房屋及设施，发包人承担由此发生的费用； </w:t>
      </w:r>
    </w:p>
    <w:p w14:paraId="30DDFD8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（5）遵守政府有关主管部门对施工场地交通、施工噪音以及环境保护和安全生产等的管理规定，按规定办理有关手续，并以书面形式通知发包人，发包人承担由此发生的费用，因承包人责任造成的罚款除外； </w:t>
      </w:r>
    </w:p>
    <w:p w14:paraId="20D645E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已竣工工程未交付发包人之前，承包人按专用条款约定负责已完工程的保护工作，保护期间发生损坏，承包人自费予以修复；发包人要求承包人采取特殊措施保护的工程部位和相应的追加合同价款，双方在专用条款内约定； </w:t>
      </w:r>
    </w:p>
    <w:p w14:paraId="65F583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（7）按专用条款约定做好施工场地地下管线和邻近建筑物、构筑物（包括文物保护建筑）、古树名木的保护工作； </w:t>
      </w:r>
    </w:p>
    <w:p w14:paraId="734A14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（8）保证施工场地清洁符合环境卫生管理的有关规定，交工前清理现场达到专用条款约定的要求，承担因自身原因违反有关规定造成的损失和罚款； </w:t>
      </w:r>
    </w:p>
    <w:p w14:paraId="43F66E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（9）承包人应做的其他工作，双方在专用条款内约定。 </w:t>
      </w:r>
    </w:p>
    <w:p w14:paraId="45AA55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9.2承包人未能履行9.1款各项义务，造成发包人损失的，承包人赔偿发包人有关损失。 </w:t>
      </w:r>
    </w:p>
    <w:p w14:paraId="1A7D1D4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二、施工组织设计和工期 </w:t>
      </w:r>
    </w:p>
    <w:p w14:paraId="5C9080F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１０、进度计划 </w:t>
      </w:r>
    </w:p>
    <w:p w14:paraId="53BF379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10.1承包人应按专用条款约定的日期，将施工组织设计和工程进度计划提交修改意见，逾期不确认也不提出书面意见的，视为同意。 </w:t>
      </w:r>
    </w:p>
    <w:p w14:paraId="1257A5B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10.2群体工程中单位工程分期进行施工的，承包人应按照发包人提供图纸及有关资料的时间，按单位工程编制进度计划，其具体内容双方在专用条款中约定。 </w:t>
      </w:r>
    </w:p>
    <w:p w14:paraId="6577CF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 </w:t>
      </w:r>
    </w:p>
    <w:p w14:paraId="3BC5D7B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１１、开工及延期开工</w:t>
      </w:r>
    </w:p>
    <w:p w14:paraId="31227A1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11.1因发包人原因不能按照协议书约定的开工日期开工，工程师应以书面形式通知承包人，推迟开工日期。发包人赔偿承包人因延期开工造成的损失，并相应顺延工期。 </w:t>
      </w:r>
    </w:p>
    <w:p w14:paraId="5EF7A74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１２、暂停施工 </w:t>
      </w:r>
    </w:p>
    <w:p w14:paraId="35E89B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 </w:t>
      </w:r>
    </w:p>
    <w:p w14:paraId="3A6DEB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１３、工期延误 </w:t>
      </w:r>
    </w:p>
    <w:p w14:paraId="203518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13.1因以下原因造成工期延误，经工程师确认，工期相应顺延： </w:t>
      </w:r>
    </w:p>
    <w:p w14:paraId="765A524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（1）发包人未能按专用条款的约定提供图纸及开工条件； </w:t>
      </w:r>
    </w:p>
    <w:p w14:paraId="56649C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（2）发包人未能按约定日期支付工程预付款、进度款，致使施工不能正常进行； </w:t>
      </w:r>
    </w:p>
    <w:p w14:paraId="0627F2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（3）工程师未按合同约定提供所需指令、批准等，致使施工不能正常进行； </w:t>
      </w:r>
    </w:p>
    <w:p w14:paraId="52AF8F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（4）设计变更和工程量增加； </w:t>
      </w:r>
    </w:p>
    <w:p w14:paraId="3D6CEC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（5）一周内非承包人原因停水、停电、停气造成停工累计超过8小时； </w:t>
      </w:r>
    </w:p>
    <w:p w14:paraId="100886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（6）不可抗力； </w:t>
      </w:r>
    </w:p>
    <w:p w14:paraId="514B4DC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（7）专用条款中约定或工程师同意工期顺延的其他情况。 </w:t>
      </w:r>
    </w:p>
    <w:p w14:paraId="3E1DBD3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13.2承包人在13.1款情况发生后14天内，就延误的工期以书面形式向工程师提出报告。工程师在收到报告后14天内予以确认，逾期不予确认也不提出修改意见，视为同意顺延工期。 </w:t>
      </w:r>
    </w:p>
    <w:p w14:paraId="7ED004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１４、工程竣工 </w:t>
      </w:r>
    </w:p>
    <w:p w14:paraId="5D39555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14.1承包人必须按照协议书约定的竣工日期或工程师同意顺延的工期竣工。 </w:t>
      </w:r>
    </w:p>
    <w:p w14:paraId="12855BD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14.2因承包人原因不能按照协议书约定的竣工日期或工程师同意顺延的工期竣工的，承包人承担违约责任。 </w:t>
      </w:r>
    </w:p>
    <w:p w14:paraId="0366269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 </w:t>
      </w:r>
    </w:p>
    <w:p w14:paraId="2FE2360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四、质量与检验 </w:t>
      </w:r>
    </w:p>
    <w:p w14:paraId="201C1A7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１５、工程质量 </w:t>
      </w:r>
    </w:p>
    <w:p w14:paraId="37C495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15.1工程质量应当达到协议书约定的质量标准，质量标准的评定以国家或行业的质量检验评定标准为依据。因承包人原因工程质量达不到约定的质量标准，承包人承担违约责任。 </w:t>
      </w:r>
    </w:p>
    <w:p w14:paraId="681EC04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15.2双方对工程质量有争议，由双方同意的工程质量检测机构鉴定，所需费用及因此造成的损失，由责任方承担。双方均有责任，由双方根据其责任分别承担。 </w:t>
      </w:r>
    </w:p>
    <w:p w14:paraId="572C81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１６、检查和返工 </w:t>
      </w:r>
    </w:p>
    <w:p w14:paraId="23915F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16.1承包人应认真按照标准、规范和设计图纸要求以及工程师依据合同发出的指令施工，随时接受工程师的检查检验，为检查检验提供便利条件。 </w:t>
      </w:r>
    </w:p>
    <w:p w14:paraId="690C05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16.2工程质量达不到约定标准的部分，工程师的要求拆除和重新施工，直到符合约定标准。因承包人原因达不到约定标准，由承包人承担拆除和重新施工的费用，工期不予顺延。 </w:t>
      </w:r>
    </w:p>
    <w:p w14:paraId="5E2664C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16.3工程师的检查检验不应影响施工正常进行。如影响施工正常进行，检查检验不合格时，影响正常施工的费用由承包人承担。除此之外影响正常施工的追加合同价款由发包人承担，相应顺延工期。 </w:t>
      </w:r>
    </w:p>
    <w:p w14:paraId="14A49DB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16.4因工程师指令失误或其他非承包人原因发生的追加合同价款，由发包人承担。 </w:t>
      </w:r>
    </w:p>
    <w:p w14:paraId="394BA03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１７、隐蔽工程和中间验收 </w:t>
      </w:r>
    </w:p>
    <w:p w14:paraId="13876C1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w:t>
      </w:r>
    </w:p>
    <w:p w14:paraId="1BF684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17.2工程师不能按时进行验收，应在验收前24小时以书面形式向承包人提出延期要求，延期不能超过48小时。工程师未能按以上时间提出延期要求，不进行验收，承包人可自行组织验收，工程师应承认验收记录。 </w:t>
      </w:r>
    </w:p>
    <w:p w14:paraId="78209E9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17.3经工程师验收，工程质量符合标准、规范和设计图纸等要求，验收24小时后，工程师不在验收记录上签字，视为工程师已经认可验收记录，承包人可进行隐蔽或继续施工。 </w:t>
      </w:r>
    </w:p>
    <w:p w14:paraId="2CBAC5D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18</w:t>
      </w:r>
      <w:r>
        <w:rPr>
          <w:rFonts w:hint="eastAsia" w:ascii="宋体" w:hAnsi="宋体" w:eastAsia="宋体" w:cs="宋体"/>
          <w:b w:val="0"/>
          <w:bCs w:val="0"/>
          <w:color w:val="auto"/>
          <w:sz w:val="28"/>
          <w:szCs w:val="28"/>
        </w:rPr>
        <w:t xml:space="preserve">、重新检验 </w:t>
      </w:r>
    </w:p>
    <w:p w14:paraId="3C5CA42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 </w:t>
      </w:r>
    </w:p>
    <w:p w14:paraId="5158867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 xml:space="preserve">、工程试车 </w:t>
      </w:r>
    </w:p>
    <w:p w14:paraId="0020E7F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19.1双方约定需要试车的，试车内容应与承包人承包的安装范围相一致。</w:t>
      </w:r>
    </w:p>
    <w:p w14:paraId="2F203B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 </w:t>
      </w:r>
    </w:p>
    <w:p w14:paraId="59E4083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19.3工程师不能按时参加试车，须在开始试车前24小时以书面形式向承包人提出延期要求，不参加试车，应承认试车记录。 </w:t>
      </w:r>
    </w:p>
    <w:p w14:paraId="2F4F79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19.4设备安装工程具备无负荷联动试车条件，发包人组织试车，并在试车内容、时间、地点和对承包人的要求，承包人按要求做好准备工作。试车合格，双方在试车记录上签字。 </w:t>
      </w:r>
    </w:p>
    <w:p w14:paraId="1D1405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19.5双方责任 </w:t>
      </w:r>
    </w:p>
    <w:p w14:paraId="5C6AB63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（1）由于设计原因试车达不到验收要求，发包人应要求设计单位修改设计，承包人按修改后的设计重新安装。发包人承担修改设计、拆除及重新安装的全部费用和追加合同价款，工期相应顺延。 </w:t>
      </w:r>
    </w:p>
    <w:p w14:paraId="4C9B50C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 </w:t>
      </w:r>
    </w:p>
    <w:p w14:paraId="6DB8C4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（3）由于承包人施工原因试车不到验收要求，承包人按工程师要求重新安装和试车，并承担重新安装和试车的费用，工期不予顺延。 </w:t>
      </w:r>
    </w:p>
    <w:p w14:paraId="6A7C7AE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（4）试车费用除已包括在合同价款之内或专用条款另有约定外，均由发包人承担。 </w:t>
      </w:r>
    </w:p>
    <w:p w14:paraId="2B8F13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（5）工程师在试车合格后不在试车记录上签字，试车结束24小时后，视为工程师已经认可试车记录，承包人可继续施工或办理竣工手续。 </w:t>
      </w:r>
    </w:p>
    <w:p w14:paraId="14195D6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19.6投料试车应在工程竣工验收后由发包人负责，如发包人要求在工程竣工验收前进行或需要承包人配合时，应征得承包人同意，另行签订补充协议。 </w:t>
      </w:r>
    </w:p>
    <w:p w14:paraId="3D79DFA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五、安全施工 </w:t>
      </w:r>
    </w:p>
    <w:p w14:paraId="2F9D8AB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 xml:space="preserve">、安全施工与检查 </w:t>
      </w:r>
    </w:p>
    <w:p w14:paraId="5BDD713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 </w:t>
      </w:r>
    </w:p>
    <w:p w14:paraId="071CA9D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3392537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 xml:space="preserve">、安全防护 </w:t>
      </w:r>
    </w:p>
    <w:p w14:paraId="1D6FB7C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21.1承包人在动力设备、输电线路、地下管道、密封防震车间、易燃易爆地段以及临街交通要道附近施工时，施工开始前应向工程师提出安全防护措施，经工程师认可后实施，防护措施费用由发包人承担。 </w:t>
      </w:r>
    </w:p>
    <w:p w14:paraId="4643891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21.2实施爆破作业，在放射、毒害性环境中施工（含储存、运输、使用）及使用毒害性、腐蚀性物品施工时，承包人应在施工前14天以书面通知工程师，并提出相应的安全防护措施，经工程师认可后实施，由发包人承担安全防护措施费用。 </w:t>
      </w:r>
    </w:p>
    <w:p w14:paraId="64B6C4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 xml:space="preserve">、事故处理 </w:t>
      </w:r>
    </w:p>
    <w:p w14:paraId="342FAF9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22.1发生重大伤亡及其他安全事故，承包人应按有关规定立即上报有关部门并通知工程师，同时按政府有关部门要求处理，由事故责任方承担发生的费用。 </w:t>
      </w:r>
    </w:p>
    <w:p w14:paraId="4CFE86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22.2发包人承包人对事故责任有争议时，应按政府有关部门的认定处理。 </w:t>
      </w:r>
    </w:p>
    <w:p w14:paraId="122FE4A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六、合同价款与支付 </w:t>
      </w:r>
    </w:p>
    <w:p w14:paraId="24DB604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 xml:space="preserve">、合同价款及调整 </w:t>
      </w:r>
    </w:p>
    <w:p w14:paraId="244886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23.1招标工程的合同价款由发包人承包人依据中标通知书中的中标价格在协议书内约定。非招标工程的合同价款由发包人承包人依据工程预算书在协议书内约定。 </w:t>
      </w:r>
    </w:p>
    <w:p w14:paraId="088866D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23.2合同价款在协议书内约定后，任何一方不得擅自改变。下列三种确定合同价款的方式，双方可在专用条款内约定采用其中一种： </w:t>
      </w:r>
    </w:p>
    <w:p w14:paraId="6A1B137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（1）固定价格合同。双方在专用条款内约定合同价款包含的风险范围和风险费用的计算方法，在约定的风险范围内合同价款不再调整。风险范围以外的合同价款调整方法。应当在专用条款内约定。 </w:t>
      </w:r>
    </w:p>
    <w:p w14:paraId="662C2FC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（2）可调价格合同。合同价款可根据双方的约定而调整，双方在专用条款内约定合同价款调整方法。 </w:t>
      </w:r>
    </w:p>
    <w:p w14:paraId="565F39B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（3）成本加酬金合同。合同价款包括成本和酬金两部分，双方在专用条款内约定成本构成和酬金的计算方法。 </w:t>
      </w:r>
    </w:p>
    <w:p w14:paraId="0F48FD2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23.3可调价格合同中合同价款的调整因素包括： </w:t>
      </w:r>
    </w:p>
    <w:p w14:paraId="3068F8A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 法律、行政法规和国家有关政策变化影响合同价款； </w:t>
      </w:r>
    </w:p>
    <w:p w14:paraId="0C8A99E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（2）工程造价管理部门公布的价格调整； </w:t>
      </w:r>
    </w:p>
    <w:p w14:paraId="3BEE74D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（3）一周内非承包人原因停水、停电、停气造成停工累计超过8小时； </w:t>
      </w:r>
    </w:p>
    <w:p w14:paraId="594899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（4）双方约定的其他因素。 </w:t>
      </w:r>
    </w:p>
    <w:p w14:paraId="7F81DDB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11A5A81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 xml:space="preserve">、工程预付款 </w:t>
      </w:r>
    </w:p>
    <w:p w14:paraId="05FD33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实行工程预付款的，双方应当在专用条款内约定发包人向承包人预付工程款的时间和数额，开工后按约定的时间和比例逐次扣回。 预付时间应不迟于约定的开工日期前7天。发包人不按约定预付， 承包人在约定预付时间7天后向发包人发出要求预付的通知，发包人收到通知后仍不能按要求预付， 承包人可在发出通知后7天停止施工，发包人应从约定应付之日起向承包人支付应付款的贷款利息，并承担违约责任。 </w:t>
      </w:r>
    </w:p>
    <w:p w14:paraId="271010A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25</w:t>
      </w:r>
      <w:r>
        <w:rPr>
          <w:rFonts w:hint="eastAsia" w:ascii="宋体" w:hAnsi="宋体" w:eastAsia="宋体" w:cs="宋体"/>
          <w:b w:val="0"/>
          <w:bCs w:val="0"/>
          <w:color w:val="auto"/>
          <w:sz w:val="28"/>
          <w:szCs w:val="28"/>
        </w:rPr>
        <w:t xml:space="preserve">、工程量的确认 </w:t>
      </w:r>
    </w:p>
    <w:p w14:paraId="4E0BF7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25.1承包人应按专用条款约定的时间，向工程师提交已完工程量的报告。 工程师接到报告后7天内按设计图纸核实已完工程量（以下称计量），并在计量前24小时通知承包人，承包人为计量提供便利条件并派人参加。承包人收到通知后不参加计量，计量结果有效，作为工程价款支付的依据。 </w:t>
      </w:r>
    </w:p>
    <w:p w14:paraId="2550068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25.2工程师收到承包人报告后7天内未进行计量，从第8天起，承包人报告中开列的工程量即视为被确认，作为工程价款支付的依据。工程师不按约定时间通知承包人，致命承包人未能参加计量，计量结果无效。 </w:t>
      </w:r>
    </w:p>
    <w:p w14:paraId="2F9FA07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25.3对承包人超出设计图纸范围和因承包人原因造成返工的工程量，工程师不予计量。 </w:t>
      </w:r>
    </w:p>
    <w:p w14:paraId="02593C6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26</w:t>
      </w:r>
      <w:r>
        <w:rPr>
          <w:rFonts w:hint="eastAsia" w:ascii="宋体" w:hAnsi="宋体" w:eastAsia="宋体" w:cs="宋体"/>
          <w:b w:val="0"/>
          <w:bCs w:val="0"/>
          <w:color w:val="auto"/>
          <w:sz w:val="28"/>
          <w:szCs w:val="28"/>
        </w:rPr>
        <w:t xml:space="preserve">、工程款（进度款）支付 </w:t>
      </w:r>
    </w:p>
    <w:p w14:paraId="0FA8FB2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26.1在确认计量结果后14天内，发包人应向承包人支付工程款（进度款）。按约定时间发包人应扣回的预付款，与工程款（进度款）同期结算。 </w:t>
      </w:r>
    </w:p>
    <w:p w14:paraId="7F7ADA2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26.2本通用条款第23条确定调整的合同价款，第31条工程变更调整的合同价款及其他条款中约定的追加合同价款，应与工程款（进度款）同期调整支付。 </w:t>
      </w:r>
    </w:p>
    <w:p w14:paraId="07B8137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26.3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应付款的贷款利息。 </w:t>
      </w:r>
    </w:p>
    <w:p w14:paraId="1000EBB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26.4发包人不按合同约定支付工程款（进度款），双方又未达成延期付款协议，导致施工无法进行，承包人可停止施工，由发包人承担违约责任。 </w:t>
      </w:r>
    </w:p>
    <w:p w14:paraId="2D0DCBE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七、材料设备供应 </w:t>
      </w:r>
    </w:p>
    <w:p w14:paraId="211CCB7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27</w:t>
      </w:r>
      <w:r>
        <w:rPr>
          <w:rFonts w:hint="eastAsia" w:ascii="宋体" w:hAnsi="宋体" w:eastAsia="宋体" w:cs="宋体"/>
          <w:b w:val="0"/>
          <w:bCs w:val="0"/>
          <w:color w:val="auto"/>
          <w:sz w:val="28"/>
          <w:szCs w:val="28"/>
        </w:rPr>
        <w:t xml:space="preserve">、发包人供应材料设备 </w:t>
      </w:r>
    </w:p>
    <w:p w14:paraId="79BC82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27.1实行发包人供应材料设备的，双方应当约定发包人供应材料设备的一览表， 作为本合同附件（附件2）。一览表包括发包人供应材料设备的品种、规格、型号、数量、单价、质量等级、提供时间和地点。 27.2发包人按一览表约定的内容提供材料设备，并向承包人提供产品合格证明，对其质量负责。发包人在所供材料设备到贷前24小时，以书面形式通知承包人，由承包人派人与发包人共同清点。 </w:t>
      </w:r>
    </w:p>
    <w:p w14:paraId="047AC2CF">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27.3发包人供应的材料设备，承包人派人参加清点后由承包人妥善保管，发包人支付相应保管费用。因承包人原因发生丢失损坏，由承包人负责赔偿。 </w:t>
      </w:r>
    </w:p>
    <w:p w14:paraId="5373151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发包人未通知承包人清点，承包人不负责材料设备的保管，丢失损坏由发包人负责。 </w:t>
      </w:r>
    </w:p>
    <w:p w14:paraId="5AA9FC3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27.4发包人供应的材料设备与一览表不符时，发包人承担有关责任。发包人应承担责任的具体内容，双方根据下列情况在专用条款内约定： </w:t>
      </w:r>
    </w:p>
    <w:p w14:paraId="56A90C4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（1）材料设备单价与一览表不符，由发包人承担所有价差； </w:t>
      </w:r>
    </w:p>
    <w:p w14:paraId="007A9F8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（2）材料设备的品种、规格、型号、质量等级与一览表不符，承包人可拒绝接收保管，由发包人运出施工场地并重新采购； </w:t>
      </w:r>
    </w:p>
    <w:p w14:paraId="390156D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（3）发包人供应的材料规格、型号与一览表不符，经发包人同意，承包人可代为调剂串换，由发包人承担相应费用； </w:t>
      </w:r>
    </w:p>
    <w:p w14:paraId="139072E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（4）到贷地点与一览表不符，由发包人负责运至一览表指定地点； </w:t>
      </w:r>
    </w:p>
    <w:p w14:paraId="22299AF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（5）供应数量少于一览表约定的数量时，由发包人补齐，多于一览表约定数量时，发包人负责将多出部分运出施工场地； </w:t>
      </w:r>
    </w:p>
    <w:p w14:paraId="26EC96D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（6）到贷时间早于一览表约定时间，由发包人承担因此发生的保管费用；到贷时间迟于一览表约定的供应时间，发包人赔偿由此造成的承包人损失，造成工期延误的，相应顺延工期； </w:t>
      </w:r>
    </w:p>
    <w:p w14:paraId="09FE17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27.5发包人供应的材料设备使用前，由承包人负责检验或试验，不合格的不得使用，检验或试验费用由发包人承担。 </w:t>
      </w:r>
    </w:p>
    <w:p w14:paraId="40CAA79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27.6发包人供应材料设备的结算方法，双方在专用条款内约定。 </w:t>
      </w:r>
    </w:p>
    <w:p w14:paraId="7F90EA8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28</w:t>
      </w:r>
      <w:r>
        <w:rPr>
          <w:rFonts w:hint="eastAsia" w:ascii="宋体" w:hAnsi="宋体" w:eastAsia="宋体" w:cs="宋体"/>
          <w:b w:val="0"/>
          <w:bCs w:val="0"/>
          <w:color w:val="auto"/>
          <w:sz w:val="28"/>
          <w:szCs w:val="28"/>
        </w:rPr>
        <w:t xml:space="preserve">、承包人采购材料设备 </w:t>
      </w:r>
    </w:p>
    <w:p w14:paraId="1A416D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28.1承包人负责采购材料设备的，应按照专用条款约定及设计和有关标准要求采购，并提供产品合格证明，对材料设备质量负责。承包人在材料设备到货前24小时通知工程师清点。 </w:t>
      </w:r>
    </w:p>
    <w:p w14:paraId="292DFA6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28.2承包人采购的材料设备与设计标准要求不符时，承包人应按工程师要求的时间运出施工场地，重新采购符合要求的产品，承担由此发生的费用，由此延误的工期不予顺延。 </w:t>
      </w:r>
    </w:p>
    <w:p w14:paraId="5E3FE04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28.3承包人采购的材料设备在使用前，承包人应按工程师的要求进行检验或试验，不合格的不得使用，检验或试验费用由承包人承担。 </w:t>
      </w:r>
    </w:p>
    <w:p w14:paraId="0ECE008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28.4工程师发现承包人采购并使用不符合设计和标准要求的材料设备时，应要求承包人负责修复、拆除或重新采购，由承包人承担发生的费用，由此延误的工期不予顺延。 </w:t>
      </w:r>
    </w:p>
    <w:p w14:paraId="582C40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28.5承包人需要使用代用材料时，应经工程师认可后才能使用，由此增减的合同价款双方以书面形式议定。 </w:t>
      </w:r>
    </w:p>
    <w:p w14:paraId="62A80D8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28.6由承包人采购的材料设备，发包人不得指定生产厂或供应商。 </w:t>
      </w:r>
    </w:p>
    <w:p w14:paraId="0E0B7A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八、工程变更 </w:t>
      </w:r>
    </w:p>
    <w:p w14:paraId="6F53F14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29</w:t>
      </w:r>
      <w:r>
        <w:rPr>
          <w:rFonts w:hint="eastAsia" w:ascii="宋体" w:hAnsi="宋体" w:eastAsia="宋体" w:cs="宋体"/>
          <w:b w:val="0"/>
          <w:bCs w:val="0"/>
          <w:color w:val="auto"/>
          <w:sz w:val="28"/>
          <w:szCs w:val="28"/>
        </w:rPr>
        <w:t xml:space="preserve">、工程设计变更 </w:t>
      </w:r>
    </w:p>
    <w:p w14:paraId="00A79FA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 </w:t>
      </w:r>
    </w:p>
    <w:p w14:paraId="4A624D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（1）更改工程有关部分的标高、基线、位置和尺寸； </w:t>
      </w:r>
    </w:p>
    <w:p w14:paraId="054413B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（2）增减合同中约定的工程量； </w:t>
      </w:r>
    </w:p>
    <w:p w14:paraId="776C30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（3）改变有关工程的施工时间和顺序； </w:t>
      </w:r>
    </w:p>
    <w:p w14:paraId="243E1D9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（4）其他有关工程变更需要的附加工作。 </w:t>
      </w:r>
    </w:p>
    <w:p w14:paraId="56FF39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因变更导致合同价款的增减及造成的承包人损失，由发包人承担，延误的工期相应顺延。 </w:t>
      </w:r>
    </w:p>
    <w:p w14:paraId="7D859A1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29.2施工中承包人不得对原工程设计进行变更。因承包人擅自变更设计发生的费用和由此导致发包人的直接损失，由承包人承担，延误的工期不予顺延。 </w:t>
      </w:r>
    </w:p>
    <w:p w14:paraId="1AD450A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 </w:t>
      </w:r>
    </w:p>
    <w:p w14:paraId="33E6689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工程师同意采用承包人合理化建议，所发生的费用和获得的收益，发包人承包人另行约定分担或分享。 </w:t>
      </w:r>
    </w:p>
    <w:p w14:paraId="2D1013E1">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 xml:space="preserve">、其他变更 </w:t>
      </w:r>
    </w:p>
    <w:p w14:paraId="3CB4CD3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合同履行中发包人要求变更工程质量标准及发生其他实质性变更，由双方协商解决。 </w:t>
      </w:r>
    </w:p>
    <w:p w14:paraId="752D1E3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31</w:t>
      </w:r>
      <w:r>
        <w:rPr>
          <w:rFonts w:hint="eastAsia" w:ascii="宋体" w:hAnsi="宋体" w:eastAsia="宋体" w:cs="宋体"/>
          <w:b w:val="0"/>
          <w:bCs w:val="0"/>
          <w:color w:val="auto"/>
          <w:sz w:val="28"/>
          <w:szCs w:val="28"/>
        </w:rPr>
        <w:t xml:space="preserve">、确定变更价款 </w:t>
      </w:r>
    </w:p>
    <w:p w14:paraId="7058F3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31.1承包人在工程变更确定后14天内，提出变更工程价款的报告，经工程师确认后调整合同价款。变更合同价款按下列方法进行： </w:t>
      </w:r>
    </w:p>
    <w:p w14:paraId="575A5DF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（1）合同中已有适用于变更工程的价格，按合同已有的价格变更合同价款； </w:t>
      </w:r>
    </w:p>
    <w:p w14:paraId="40E6CE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（2）合同中只有类似于变更工程的价格，可以参照类似价格变更合同介款； </w:t>
      </w:r>
    </w:p>
    <w:p w14:paraId="716CB01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（3）合同中没有适用或类似于变更工程的价格，由承包人提出适当的变更价格，经工程师确认后执行。 31.2承包人在双方确定变更后14天内不向工程师提出变更工程价款报告时，视为该项变更不涉及合同价款的变更。 </w:t>
      </w:r>
    </w:p>
    <w:p w14:paraId="5EDA034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31.3工程师应在收到变更工程价款报告之日起14天内予以确认，工程师无正当理由不确认时，自变更工程价款报告送达之日起14天后视为变更工程价款报告已被确认。 </w:t>
      </w:r>
    </w:p>
    <w:p w14:paraId="79ECBAF4">
      <w:pPr>
        <w:pStyle w:val="5"/>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31.4工程师不同意承包人提出的变更价款，按本通用条款第37条关于争议的约定处理。 </w:t>
      </w:r>
    </w:p>
    <w:p w14:paraId="1167F49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31.5工程师确认增加的工程变更价款作为追加合同价款，与工程款同期支付。 </w:t>
      </w:r>
    </w:p>
    <w:p w14:paraId="40BBB50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31.6因承包人自身原因导致的工程变更，承包人无权要求追加合同价款。 </w:t>
      </w:r>
    </w:p>
    <w:p w14:paraId="1604D00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九、竣工验收与结算 </w:t>
      </w:r>
    </w:p>
    <w:p w14:paraId="1AFF527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32</w:t>
      </w:r>
      <w:r>
        <w:rPr>
          <w:rFonts w:hint="eastAsia" w:ascii="宋体" w:hAnsi="宋体" w:eastAsia="宋体" w:cs="宋体"/>
          <w:b w:val="0"/>
          <w:bCs w:val="0"/>
          <w:color w:val="auto"/>
          <w:sz w:val="28"/>
          <w:szCs w:val="28"/>
        </w:rPr>
        <w:t xml:space="preserve">、竣工验收 </w:t>
      </w:r>
    </w:p>
    <w:p w14:paraId="6AB5CE5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32.1工程具备竣工验收条件，承包人按国家工程竣工验收有关规定，向发包人提供完整竣工资料及竣工验收报告。双方约定由承包人提供竣工图的，应当在专用条款内约定提供的日期和份数。 </w:t>
      </w:r>
    </w:p>
    <w:p w14:paraId="34EF78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32.2发包人收到竣工验收报告后28天内组织有关单位验收，并在验收后14天内给予认可或提出修改意见。承包人按要求修改，并承担由自身原因造成修改的费用。 </w:t>
      </w:r>
    </w:p>
    <w:p w14:paraId="1947031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32.3发包人收到承包人送交的竣工验收报告后28天内不组织验收，或验收后14天内不提出修改意见，视为竣工验收报告已被认可。 </w:t>
      </w:r>
    </w:p>
    <w:p w14:paraId="50ABD4C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32.4工程竣工验收通过，承包人送交竣工验收报告的日期为实际竣工日期。工程按发包人要求修改后通过竣工验收的，实际竣工日期为承包人修改后提请发包人验收的日期。 </w:t>
      </w:r>
    </w:p>
    <w:p w14:paraId="0142AE9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32.5发包人收到承包人竣工验收报告后28天内不组织验收，从第29天起承担工程保管及一切意外责任。 </w:t>
      </w:r>
    </w:p>
    <w:p w14:paraId="0E2B24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32.6中间交工工程的范围和竣工时间，双方在专用条款内约定，其验收程序按本通用条款32.1款至32.4款办理。 </w:t>
      </w:r>
    </w:p>
    <w:p w14:paraId="28300F7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32.7因特殊原因，发包人要求部分单位工程或工程部位甩项竣工的，双方另行签订甩项竣工协议，明确双方责任和工程价款的支付方法。 </w:t>
      </w:r>
    </w:p>
    <w:p w14:paraId="49E5168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32.8工程未经竣工验收或竣工验收未通过的，发包人不得使用。发包人强行使用时，由此发生的质量问题及其他问题，由发包人承担责任。 </w:t>
      </w:r>
    </w:p>
    <w:p w14:paraId="6D6FB5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33</w:t>
      </w:r>
      <w:r>
        <w:rPr>
          <w:rFonts w:hint="eastAsia" w:ascii="宋体" w:hAnsi="宋体" w:eastAsia="宋体" w:cs="宋体"/>
          <w:b w:val="0"/>
          <w:bCs w:val="0"/>
          <w:color w:val="auto"/>
          <w:sz w:val="28"/>
          <w:szCs w:val="28"/>
        </w:rPr>
        <w:t xml:space="preserve">、竣工结算 </w:t>
      </w:r>
    </w:p>
    <w:p w14:paraId="7533BBE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33.1工程竣工验收报告经发包人认可后28天内，承包人向发包人递交竣工结算报告及完整的结算资料，双方按照协议书约定的合同价款及专用条款约定的合同价款调整内容，进行工程竣工结算。</w:t>
      </w:r>
    </w:p>
    <w:p w14:paraId="0A4615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33.2发包人收到承包人递交的竣工结算报告及结算资料后28天内进行核实，给予确认或者提出修改意见。发包人确认竣工结算报告通知经办银行向承包人支付工程竣工结算价款。承包人收到竣工结算价款后14天内将竣工工程交付发包人。 </w:t>
      </w:r>
    </w:p>
    <w:p w14:paraId="2AC11B6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33.3发包人收到竣工结算报告及结算资料后28天内无正当理由不支付工程竣工结算价款，从第29天起按承包人同期向银行贷款利率支付拖欠工程价款的利息，并承担违约责任。 </w:t>
      </w:r>
    </w:p>
    <w:p w14:paraId="7D6463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33.4发包人收到竣工结算报告及结算资料后28天内不支付工程竣工结算价款，承包人可以催告发包人支付结算价款。发包人在收到竣工结算报告及结算资料后56天内仍不支付的，承包人可以与发包人协议将该工程折价，也可以由承包人申请人民法院将该工程依法拍卖，承包人就该工程折价或者拍卖的价款优先受偿。 </w:t>
      </w:r>
    </w:p>
    <w:p w14:paraId="1E80F29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33.5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 </w:t>
      </w:r>
    </w:p>
    <w:p w14:paraId="3EE88C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33.6发包人承包人对工程竣工结算价款发生争议时，按本通用条款第37条关于争议的约定处理。 </w:t>
      </w:r>
    </w:p>
    <w:p w14:paraId="428CA01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34</w:t>
      </w:r>
      <w:r>
        <w:rPr>
          <w:rFonts w:hint="eastAsia" w:ascii="宋体" w:hAnsi="宋体" w:eastAsia="宋体" w:cs="宋体"/>
          <w:b w:val="0"/>
          <w:bCs w:val="0"/>
          <w:color w:val="auto"/>
          <w:sz w:val="28"/>
          <w:szCs w:val="28"/>
        </w:rPr>
        <w:t xml:space="preserve">、质量保修 </w:t>
      </w:r>
    </w:p>
    <w:p w14:paraId="77F60FA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34.1承包人应按法律、行政法规或国家关于工程质量保修的在关规定，对交付发包人使用的工程在质量保修期内承担质量保修责任。 </w:t>
      </w:r>
    </w:p>
    <w:p w14:paraId="222CBAC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34.2质量保修工作的实施。承包人应在工程竣工验收之前，与发包人签订质量保修书，作为本合同附件（附件３略）。 </w:t>
      </w:r>
    </w:p>
    <w:p w14:paraId="712CEF5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34.3质量保修书的主要内容包括： </w:t>
      </w:r>
    </w:p>
    <w:p w14:paraId="021405F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（1）质量保修项目内容及范围； </w:t>
      </w:r>
    </w:p>
    <w:p w14:paraId="4067179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（2）质量保修期； </w:t>
      </w:r>
    </w:p>
    <w:p w14:paraId="535C8D3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（3）质量保修责任； </w:t>
      </w:r>
    </w:p>
    <w:p w14:paraId="03510FF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（4）质量保修金的支付方法。 </w:t>
      </w:r>
    </w:p>
    <w:p w14:paraId="40D007F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 xml:space="preserve">十、违约、索赔和争议 </w:t>
      </w:r>
    </w:p>
    <w:p w14:paraId="5D652C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u w:val="none"/>
          <w:lang w:val="en-US" w:eastAsia="zh-CN"/>
        </w:rPr>
        <w:t>35</w:t>
      </w:r>
      <w:r>
        <w:rPr>
          <w:rFonts w:hint="eastAsia" w:ascii="宋体" w:hAnsi="宋体" w:eastAsia="宋体" w:cs="宋体"/>
          <w:b w:val="0"/>
          <w:bCs w:val="0"/>
          <w:color w:val="auto"/>
          <w:sz w:val="28"/>
          <w:szCs w:val="28"/>
          <w:u w:val="none"/>
        </w:rPr>
        <w:t>、</w:t>
      </w:r>
      <w:r>
        <w:rPr>
          <w:rFonts w:hint="eastAsia" w:ascii="宋体" w:hAnsi="宋体" w:eastAsia="宋体" w:cs="宋体"/>
          <w:b w:val="0"/>
          <w:bCs w:val="0"/>
          <w:color w:val="auto"/>
          <w:sz w:val="28"/>
          <w:szCs w:val="28"/>
        </w:rPr>
        <w:t xml:space="preserve">违约 </w:t>
      </w:r>
    </w:p>
    <w:p w14:paraId="6B6C7B8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35.1 发包人违约。当发生下列情况时： </w:t>
      </w:r>
    </w:p>
    <w:p w14:paraId="4C40406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（1）本通用条款第24条提到的发包人不按时支付工程预付款； </w:t>
      </w:r>
    </w:p>
    <w:p w14:paraId="447B53F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（2）本通用条款第26.4款提到的发包人不按合同约定支付工程款，导致施工无法进行； </w:t>
      </w:r>
    </w:p>
    <w:p w14:paraId="06EEF1A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（3）本通用条款第33.3款提到的发包人无正当理由不支付工程竣工结算价款； </w:t>
      </w:r>
    </w:p>
    <w:p w14:paraId="322F520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（4）发包人不履行合同义务或不按合同约定履行义务的其他情况。 </w:t>
      </w:r>
    </w:p>
    <w:p w14:paraId="19A67AC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发包人承担违约责任，赔偿因其违约给承包人造成的经济损失，顺延延误的工期。双方在专用条款内约定发包人赔偿承包人损失的计算方法或者发包人应当支付违约金的数额或计算方法。 35.2承包人违约。当发生下列情况时： </w:t>
      </w:r>
    </w:p>
    <w:p w14:paraId="464012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（1）本通用条款第14.2款提到的因承包人原因不能按照协议书约定的竣工日期或工程师同意顺延的工期竣工； </w:t>
      </w:r>
    </w:p>
    <w:p w14:paraId="426726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（2）本通用条款第15.1款提到的因承包人原因工程质量达不到协议书约定的质量标准； </w:t>
      </w:r>
    </w:p>
    <w:p w14:paraId="7A7CA31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 承包人不履行合同义务或不按合同约定履行义务的其他情况。 </w:t>
      </w:r>
    </w:p>
    <w:p w14:paraId="29DCA35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承包人承担违约责任，赔偿因其违约约发包人造成的损失。双方在专用条款内约定承包人赔偿发包人损失的计算方法或者承包人应当支付违约金的数额可计算方法。 </w:t>
      </w:r>
    </w:p>
    <w:p w14:paraId="6342510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35.3一方违约后，另一方要求违给方继续履行合同时，违约方承担上述违约责任后仍应继续履行合同。 </w:t>
      </w:r>
    </w:p>
    <w:p w14:paraId="0FE700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36</w:t>
      </w:r>
      <w:r>
        <w:rPr>
          <w:rFonts w:hint="eastAsia" w:ascii="宋体" w:hAnsi="宋体" w:eastAsia="宋体" w:cs="宋体"/>
          <w:b w:val="0"/>
          <w:bCs w:val="0"/>
          <w:color w:val="auto"/>
          <w:sz w:val="28"/>
          <w:szCs w:val="28"/>
        </w:rPr>
        <w:t xml:space="preserve">、索赔 </w:t>
      </w:r>
    </w:p>
    <w:p w14:paraId="4154C80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36.1当一方向另一方提出索赔时，要有正当索赔理由，且有索赔事件发生时的有效证据。 </w:t>
      </w:r>
    </w:p>
    <w:p w14:paraId="1B336D0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36.2发包人未能按合同约定履行自己的各项义务或发生错误以及应由发包人承担责任的其他情况，造成工期延误和（或）承包人不能及时得到合同价款及承包人的其他经济损失，承包人可按下列程序以书面形式向发包人索赔： </w:t>
      </w:r>
    </w:p>
    <w:p w14:paraId="350644F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（1）索赔事件发生后28天内，向工程师发出索赔意向通知； </w:t>
      </w:r>
    </w:p>
    <w:p w14:paraId="3CAC11B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（2）发出索赔意向通知后28天内，向工程师提出延长工期和（或）补偿经济损失的索赔报告及有关资料； </w:t>
      </w:r>
    </w:p>
    <w:p w14:paraId="060E18B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（3）工程师在收到承包人送交的索赔报告和有关资料后，于28天内给予答复，或要求承包人进一步补充索赔理由和证据； </w:t>
      </w:r>
    </w:p>
    <w:p w14:paraId="04FA0DB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（4）工程师在收到承包人送交的索赔报告和有关资料后28天内未予答复或未对承包人作进一步要求，视为该项索赔已经认可； </w:t>
      </w:r>
    </w:p>
    <w:p w14:paraId="0ABE525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（5）当该索赔事件持续进行时，承包人应当阶段性向工程师发出索赔意向，在索赔事件终了后28天内，向工程师送交索赔的有关资料和最终索赔报告。索赔答复程序与（3）、（4）规定相同。 </w:t>
      </w:r>
    </w:p>
    <w:p w14:paraId="0A4428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36.3承包人未能按合同约定履行自己的各项义务或发生错误，给发包人造成经济损失，发包人可按36.2款确定的时限向承包人提出索赔。 </w:t>
      </w:r>
    </w:p>
    <w:p w14:paraId="116FA7A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37</w:t>
      </w:r>
      <w:r>
        <w:rPr>
          <w:rFonts w:hint="eastAsia" w:ascii="宋体" w:hAnsi="宋体" w:eastAsia="宋体" w:cs="宋体"/>
          <w:b w:val="0"/>
          <w:bCs w:val="0"/>
          <w:color w:val="auto"/>
          <w:sz w:val="28"/>
          <w:szCs w:val="28"/>
        </w:rPr>
        <w:t xml:space="preserve">、争议 </w:t>
      </w:r>
    </w:p>
    <w:p w14:paraId="5C59B21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37.1发包人承包人在履行合同时发生争议，可以和解或者要求有关主管部门调解。当事人不愿和解、调解或者和解、调解不成的，双方可以在专用条款内约定以下一种方式解决争议：第一种解决方式：双方达成仲裁协议，向约定的仲裁委员会申请仲裁； </w:t>
      </w:r>
    </w:p>
    <w:p w14:paraId="112C22B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第二种解决方式：向有管辖权的人民法院起诉。 </w:t>
      </w:r>
    </w:p>
    <w:p w14:paraId="04E37CC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37.2发生争议后，除非出现下列情况的，双方都应继续履行合同，保持施工连续，保护好已完工程： </w:t>
      </w:r>
    </w:p>
    <w:p w14:paraId="7978A58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（1）单方违约导致合同确已无法履行，双方协议停止施工； </w:t>
      </w:r>
    </w:p>
    <w:p w14:paraId="10D1054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（2）调解要求停止施工，且为双方接受； </w:t>
      </w:r>
    </w:p>
    <w:p w14:paraId="7B508BE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（3）仲裁机构要求停止施工； </w:t>
      </w:r>
    </w:p>
    <w:p w14:paraId="2D749A36">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（4）法院要求停止施工。 </w:t>
      </w:r>
    </w:p>
    <w:p w14:paraId="1201B5C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十一、其他 </w:t>
      </w:r>
    </w:p>
    <w:p w14:paraId="57054E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38</w:t>
      </w:r>
      <w:r>
        <w:rPr>
          <w:rFonts w:hint="eastAsia" w:ascii="宋体" w:hAnsi="宋体" w:eastAsia="宋体" w:cs="宋体"/>
          <w:b w:val="0"/>
          <w:bCs w:val="0"/>
          <w:color w:val="auto"/>
          <w:sz w:val="28"/>
          <w:szCs w:val="28"/>
        </w:rPr>
        <w:t xml:space="preserve">、工程分包 </w:t>
      </w:r>
    </w:p>
    <w:p w14:paraId="12D1FC1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38.1承包人按专用条款的约定分包所承包的部分工程，并与分包单位签订分包合同。非经发包人同意，承包人不得将承包工程的任何部分分包。 </w:t>
      </w:r>
    </w:p>
    <w:p w14:paraId="334715F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38.2承包人不得将其承包的全部工程转包给他人，也不得将其承包的全部工程肢解以后以分包的名义分别转包给他人。 </w:t>
      </w:r>
    </w:p>
    <w:p w14:paraId="5AAB074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38.3工程分包不能解除承包人任何责任与义务。承包人应在分包场地派驻相应管理人员，保证本合同的履行。分包单位的任何违约行为或疏忽导致工程损害或给发包人造成其他损失，承包人承担连带责任。 </w:t>
      </w:r>
    </w:p>
    <w:p w14:paraId="319CFD44">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38.4分包工程价款由承包人与分包单位结算。发包人未经承包人同意不得以任何形式向分包单位支付各种工程款项。 </w:t>
      </w:r>
    </w:p>
    <w:p w14:paraId="73FE4B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39</w:t>
      </w:r>
      <w:r>
        <w:rPr>
          <w:rFonts w:hint="eastAsia" w:ascii="宋体" w:hAnsi="宋体" w:eastAsia="宋体" w:cs="宋体"/>
          <w:b w:val="0"/>
          <w:bCs w:val="0"/>
          <w:color w:val="auto"/>
          <w:sz w:val="28"/>
          <w:szCs w:val="28"/>
        </w:rPr>
        <w:t xml:space="preserve">、不可抗力 </w:t>
      </w:r>
    </w:p>
    <w:p w14:paraId="490F24B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39.1不可抗力包括因战争、动乱、空中飞行物体坠落或其他非发包人承包人责任造成的爆炸、火灾，以及专用条款约定的风雨、雪、洪、震等自然灾害。 </w:t>
      </w:r>
    </w:p>
    <w:p w14:paraId="10753E3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39.2不可抗力事件发生后，承包人应立即通知工程师，产大力所能及的条件下迅速采取措施，尽力减少损失，发包人应协助承包人采取措施。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 </w:t>
      </w:r>
    </w:p>
    <w:p w14:paraId="2F76A5C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39.3因不可抗力事件导致的费用及延误的工期由双方按以下方法分别承担： </w:t>
      </w:r>
    </w:p>
    <w:p w14:paraId="546EE9C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（1）工程本身的损害、因工程损害导致第三人人员伤亡和财产损失以及运至施工场地用于施工的材料和待安装的设备的损害，由发包人承担； </w:t>
      </w:r>
    </w:p>
    <w:p w14:paraId="037F88F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（2）发包人承包人人员伤亡由其所在单位负责，并承担相应费用； </w:t>
      </w:r>
    </w:p>
    <w:p w14:paraId="4F391ED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（3）承包人机械设备损坏及停工损失，由承包人承担； </w:t>
      </w:r>
    </w:p>
    <w:p w14:paraId="1262F5E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（4）停工期间，承包人应工程师要求留在施工场地的必要的管理人员及保卫人员的费用由发包人承担； </w:t>
      </w:r>
    </w:p>
    <w:p w14:paraId="1BC685D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（5）工程所需清理、修复费用，由发包人承担； </w:t>
      </w:r>
    </w:p>
    <w:p w14:paraId="4E62AC4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（6）延误的工期相应顺延。</w:t>
      </w:r>
    </w:p>
    <w:p w14:paraId="19D938D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39.4因合同一方迟延履行合同后发生不可抗力的，不能免除迟延履行方的相应责任。 </w:t>
      </w:r>
    </w:p>
    <w:p w14:paraId="0A87151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40</w:t>
      </w:r>
      <w:r>
        <w:rPr>
          <w:rFonts w:hint="eastAsia" w:ascii="宋体" w:hAnsi="宋体" w:eastAsia="宋体" w:cs="宋体"/>
          <w:b w:val="0"/>
          <w:bCs w:val="0"/>
          <w:color w:val="auto"/>
          <w:sz w:val="28"/>
          <w:szCs w:val="28"/>
        </w:rPr>
        <w:t xml:space="preserve">、保险 </w:t>
      </w:r>
    </w:p>
    <w:p w14:paraId="01E7308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40.1工程开工前，发包人为建设工程和施工场内的自有人员及第三人人员生命财产办理保险，支付保险费用。 </w:t>
      </w:r>
    </w:p>
    <w:p w14:paraId="65F83C6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40.2运至施工场地内用于工程的材料和待安装设备，由发包人办理保险，并支付保险费用。 </w:t>
      </w:r>
    </w:p>
    <w:p w14:paraId="165E64E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40.3发包人可以将有关保险事项委托承包人办理，费用由发包人承担。 </w:t>
      </w:r>
    </w:p>
    <w:p w14:paraId="51F77A9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40.4承包人必须为人事危险作业的职工办理意外伤害保险，并为施工场地内自有人员生命财产和施工机械设备办理保险，支付保险费用。 </w:t>
      </w:r>
    </w:p>
    <w:p w14:paraId="5881000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40.5保险事故发生时，发包人承包人有责任尽力采取必要的措施，防止或者减少损失。 </w:t>
      </w:r>
    </w:p>
    <w:p w14:paraId="117BD94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40.6具体投保内容和相关责任，发包人承包人在专用条款中约定。 </w:t>
      </w:r>
    </w:p>
    <w:p w14:paraId="5F47385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41</w:t>
      </w:r>
      <w:r>
        <w:rPr>
          <w:rFonts w:hint="eastAsia" w:ascii="宋体" w:hAnsi="宋体" w:eastAsia="宋体" w:cs="宋体"/>
          <w:b w:val="0"/>
          <w:bCs w:val="0"/>
          <w:color w:val="auto"/>
          <w:sz w:val="28"/>
          <w:szCs w:val="28"/>
        </w:rPr>
        <w:t xml:space="preserve">、担保 </w:t>
      </w:r>
    </w:p>
    <w:p w14:paraId="3497A75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41.1发包人承包人为了全面履行合同，应互相提供以下担保： </w:t>
      </w:r>
    </w:p>
    <w:p w14:paraId="65D0176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（1）发包人向承包人提供履约担保，按合同约定支付工程价款及履行合同约定的其他义务。 </w:t>
      </w:r>
    </w:p>
    <w:p w14:paraId="5AF41581">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（2）承包人向发包人提供履约担保，按合同约定履行自己的各项义务。 </w:t>
      </w:r>
    </w:p>
    <w:p w14:paraId="2F31509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41.2一方违约后，另一方可要求提供担保的第三人承担相应责任。 </w:t>
      </w:r>
    </w:p>
    <w:p w14:paraId="0540539B">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41.3提供担保的内容、方式和相关责任，发包人承包人除在专用条款中约定外，被担保方与担保方还应签订担保合同，作为本合同附件。 </w:t>
      </w:r>
    </w:p>
    <w:p w14:paraId="6F7B5DB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42</w:t>
      </w:r>
      <w:r>
        <w:rPr>
          <w:rFonts w:hint="eastAsia" w:ascii="宋体" w:hAnsi="宋体" w:eastAsia="宋体" w:cs="宋体"/>
          <w:b w:val="0"/>
          <w:bCs w:val="0"/>
          <w:color w:val="auto"/>
          <w:sz w:val="28"/>
          <w:szCs w:val="28"/>
        </w:rPr>
        <w:t xml:space="preserve">、专利技术及特殊工艺 </w:t>
      </w:r>
    </w:p>
    <w:p w14:paraId="29F5677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42.1发包人要求使用专利技术或特殊工艺，就负责办理相应的申报手续，承担申报、试验、使用等费用；承包人提出使用专利技术或特殊工艺，应取得工程师认可，承包人负责办理申报手续并承担有关费用。 </w:t>
      </w:r>
    </w:p>
    <w:p w14:paraId="2184651A">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42.2擅自使用专利技术侵犯他人专利权的，责任者依法承担相应责任。 </w:t>
      </w:r>
    </w:p>
    <w:p w14:paraId="627EFF7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43</w:t>
      </w:r>
      <w:r>
        <w:rPr>
          <w:rFonts w:hint="eastAsia" w:ascii="宋体" w:hAnsi="宋体" w:eastAsia="宋体" w:cs="宋体"/>
          <w:b w:val="0"/>
          <w:bCs w:val="0"/>
          <w:color w:val="auto"/>
          <w:sz w:val="28"/>
          <w:szCs w:val="28"/>
        </w:rPr>
        <w:t xml:space="preserve">、文物和地下障碍物 </w:t>
      </w:r>
    </w:p>
    <w:p w14:paraId="782A996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 </w:t>
      </w:r>
    </w:p>
    <w:p w14:paraId="5F64648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如发现后隐瞒不报，致使文物遭受破坏，责任者依法承担相应责任。 43.2施工中了现影响施工的地下障碍物时，承包人应于8小时内以书面形式通知工程师，同时提出处置方案，工程师收到处置方案后24小时内予以认可或提出修正方案。发包人承担由此发生的费用，顺延延误的工期。 </w:t>
      </w:r>
    </w:p>
    <w:p w14:paraId="73DF3953">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所发现的地下障碍物有归属单位时，发包人应报请有关部门协同处置。 </w:t>
      </w:r>
    </w:p>
    <w:p w14:paraId="55E3D8B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44</w:t>
      </w:r>
      <w:r>
        <w:rPr>
          <w:rFonts w:hint="eastAsia" w:ascii="宋体" w:hAnsi="宋体" w:eastAsia="宋体" w:cs="宋体"/>
          <w:b w:val="0"/>
          <w:bCs w:val="0"/>
          <w:color w:val="auto"/>
          <w:sz w:val="28"/>
          <w:szCs w:val="28"/>
        </w:rPr>
        <w:t xml:space="preserve">、合同解除 </w:t>
      </w:r>
    </w:p>
    <w:p w14:paraId="169D615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44.1发包人承包人协商一致，可以解除合同。 </w:t>
      </w:r>
    </w:p>
    <w:p w14:paraId="59E197D8">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44.2发生本通用条款第26.4款情况，停止施工超过56天，发包人仍不支付工程款（进度款），承包人有权解除合同。 </w:t>
      </w:r>
    </w:p>
    <w:p w14:paraId="5D248FA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44.3发生本通用条款第38.2款禁止的情况，承包人将其承包的全部工程转包给他人或者肢解以后以分包的名义分别转包给他人，发包人有权解除合同。 </w:t>
      </w:r>
    </w:p>
    <w:p w14:paraId="4A8B81B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44.4有下列情形之一的，发包人承包人可以解除合同： </w:t>
      </w:r>
    </w:p>
    <w:p w14:paraId="110F425C">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（1）因不可抗力致使合同无法履行； </w:t>
      </w:r>
    </w:p>
    <w:p w14:paraId="3AE71A0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（2）因一方违约（包括因发包人原因造成工程停建或缓建）致使合同无法履行。 </w:t>
      </w:r>
    </w:p>
    <w:p w14:paraId="0137B58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44.5一方依据44.2、44.3、44.4款约定要求解除合同的，应以书面形式向对方发出解除合同的通知，并在发出通知前7天告知对方，通知到达对方时合同解除。对解除合同有争议的，按本通用条款第37条关于争议的约定处理。 </w:t>
      </w:r>
    </w:p>
    <w:p w14:paraId="5C11AC5F">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 </w:t>
      </w:r>
    </w:p>
    <w:p w14:paraId="73344870">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44.7合同解除后，不影响双方在合同中约定的结算和清理条款的效力。 </w:t>
      </w:r>
    </w:p>
    <w:p w14:paraId="0B88D92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45</w:t>
      </w:r>
      <w:r>
        <w:rPr>
          <w:rFonts w:hint="eastAsia" w:ascii="宋体" w:hAnsi="宋体" w:eastAsia="宋体" w:cs="宋体"/>
          <w:b w:val="0"/>
          <w:bCs w:val="0"/>
          <w:color w:val="auto"/>
          <w:sz w:val="28"/>
          <w:szCs w:val="28"/>
        </w:rPr>
        <w:t xml:space="preserve">、合同生效与终止 </w:t>
      </w:r>
    </w:p>
    <w:p w14:paraId="0E7F24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45.1双方在协议书中约定合同生效方式。 </w:t>
      </w:r>
    </w:p>
    <w:p w14:paraId="5AC7EF3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45.2除本通用条款第34条外，发包人承包人履行合同全部义务，竣工结算价款支付完毕，承包人向发包人交付竣工工程后，本合同即告终止。 </w:t>
      </w:r>
    </w:p>
    <w:p w14:paraId="73B6EDF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45.3合同的权利义务终止后，发包人承包人应当遵循诚实信用原则，履行通知、协助、保密等义务。</w:t>
      </w:r>
    </w:p>
    <w:p w14:paraId="2AF30E29">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46</w:t>
      </w:r>
      <w:r>
        <w:rPr>
          <w:rFonts w:hint="eastAsia" w:ascii="宋体" w:hAnsi="宋体" w:eastAsia="宋体" w:cs="宋体"/>
          <w:b w:val="0"/>
          <w:bCs w:val="0"/>
          <w:color w:val="auto"/>
          <w:sz w:val="28"/>
          <w:szCs w:val="28"/>
        </w:rPr>
        <w:t xml:space="preserve">、合同份数 </w:t>
      </w:r>
    </w:p>
    <w:p w14:paraId="7CC58CA2">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46.1本合同正本两份，具有同等效力，由发包人承包人分别保存一份。 </w:t>
      </w:r>
    </w:p>
    <w:p w14:paraId="500EF647">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46.2本合同副本份数，由双方根据需要在专用条款内约定。 </w:t>
      </w:r>
    </w:p>
    <w:p w14:paraId="27D8BC2E">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eastAsia="宋体" w:cs="宋体"/>
          <w:b w:val="0"/>
          <w:bCs w:val="0"/>
          <w:color w:val="auto"/>
          <w:sz w:val="28"/>
          <w:szCs w:val="28"/>
          <w:lang w:val="en-US" w:eastAsia="zh-CN"/>
        </w:rPr>
        <w:t>47</w:t>
      </w:r>
      <w:r>
        <w:rPr>
          <w:rFonts w:hint="eastAsia" w:ascii="宋体" w:hAnsi="宋体" w:eastAsia="宋体" w:cs="宋体"/>
          <w:b w:val="0"/>
          <w:bCs w:val="0"/>
          <w:color w:val="auto"/>
          <w:sz w:val="28"/>
          <w:szCs w:val="28"/>
        </w:rPr>
        <w:t xml:space="preserve">、补充条款 </w:t>
      </w:r>
    </w:p>
    <w:p w14:paraId="45ECBE75">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双方根据有关法律、行政法规规定，结合工程实际经协商一致后，可对本通用条款内容具体化、补充或修改，在专用条款内约定。 </w:t>
      </w:r>
    </w:p>
    <w:p w14:paraId="05323B5D">
      <w:pPr>
        <w:pStyle w:val="5"/>
        <w:pageBreakBefore w:val="0"/>
        <w:tabs>
          <w:tab w:val="left" w:pos="0"/>
          <w:tab w:val="left" w:pos="1134"/>
        </w:tabs>
        <w:kinsoku/>
        <w:wordWrap/>
        <w:overflowPunct/>
        <w:topLinePunct w:val="0"/>
        <w:bidi w:val="0"/>
        <w:spacing w:line="440" w:lineRule="exact"/>
        <w:ind w:left="0" w:leftChars="0" w:right="-7" w:rightChars="-3" w:firstLine="560" w:firstLineChars="200"/>
        <w:textAlignment w:val="auto"/>
        <w:rPr>
          <w:rFonts w:hint="eastAsia" w:ascii="宋体" w:hAnsi="宋体" w:eastAsia="宋体" w:cs="宋体"/>
          <w:b w:val="0"/>
          <w:bCs w:val="0"/>
          <w:color w:val="auto"/>
          <w:sz w:val="28"/>
          <w:szCs w:val="28"/>
        </w:rPr>
      </w:pPr>
    </w:p>
    <w:p w14:paraId="00D095E5">
      <w:pPr>
        <w:pStyle w:val="9"/>
        <w:pageBreakBefore w:val="0"/>
        <w:kinsoku/>
        <w:wordWrap/>
        <w:overflowPunct/>
        <w:topLinePunct w:val="0"/>
        <w:bidi w:val="0"/>
        <w:spacing w:before="0" w:beforeLines="0" w:after="0" w:afterLines="0" w:line="440" w:lineRule="exact"/>
        <w:ind w:left="0" w:right="-7" w:rightChars="-3"/>
        <w:textAlignment w:val="auto"/>
        <w:rPr>
          <w:rFonts w:hint="eastAsia" w:ascii="宋体" w:hAnsi="宋体" w:eastAsia="宋体" w:cs="宋体"/>
          <w:b w:val="0"/>
          <w:bCs w:val="0"/>
          <w:color w:val="auto"/>
          <w:sz w:val="28"/>
          <w:szCs w:val="28"/>
        </w:rPr>
      </w:pPr>
    </w:p>
    <w:p w14:paraId="7682C8F0">
      <w:pPr>
        <w:numPr>
          <w:ilvl w:val="0"/>
          <w:numId w:val="0"/>
        </w:numPr>
        <w:spacing w:line="360" w:lineRule="auto"/>
        <w:jc w:val="both"/>
        <w:outlineLvl w:val="1"/>
        <w:rPr>
          <w:rFonts w:hint="eastAsia" w:ascii="宋体" w:hAnsi="宋体" w:eastAsia="宋体" w:cs="宋体"/>
          <w:b w:val="0"/>
          <w:bCs w:val="0"/>
          <w:color w:val="auto"/>
          <w:sz w:val="28"/>
          <w:szCs w:val="28"/>
        </w:rPr>
      </w:pPr>
    </w:p>
    <w:p w14:paraId="74067298">
      <w:pPr>
        <w:spacing w:line="520" w:lineRule="exact"/>
        <w:contextualSpacing/>
        <w:jc w:val="center"/>
        <w:rPr>
          <w:rFonts w:hint="eastAsia" w:ascii="宋体" w:hAnsi="宋体" w:eastAsia="宋体" w:cs="宋体"/>
          <w:b w:val="0"/>
          <w:bCs w:val="0"/>
          <w:color w:val="auto"/>
          <w:sz w:val="28"/>
          <w:szCs w:val="28"/>
        </w:rPr>
      </w:pPr>
    </w:p>
    <w:p w14:paraId="78EE7028">
      <w:pPr>
        <w:spacing w:line="520" w:lineRule="exact"/>
        <w:contextualSpacing/>
        <w:jc w:val="center"/>
        <w:rPr>
          <w:rFonts w:hint="eastAsia" w:ascii="宋体" w:hAnsi="宋体" w:eastAsia="宋体" w:cs="宋体"/>
          <w:b w:val="0"/>
          <w:bCs w:val="0"/>
          <w:color w:val="auto"/>
          <w:sz w:val="28"/>
          <w:szCs w:val="28"/>
        </w:rPr>
      </w:pPr>
    </w:p>
    <w:p w14:paraId="1F39DEAE">
      <w:pPr>
        <w:spacing w:line="520" w:lineRule="exact"/>
        <w:contextualSpacing/>
        <w:jc w:val="center"/>
        <w:rPr>
          <w:rFonts w:hint="eastAsia" w:ascii="宋体" w:hAnsi="宋体" w:eastAsia="宋体" w:cs="宋体"/>
          <w:b w:val="0"/>
          <w:bCs w:val="0"/>
          <w:color w:val="auto"/>
          <w:sz w:val="28"/>
          <w:szCs w:val="28"/>
        </w:rPr>
      </w:pPr>
    </w:p>
    <w:p w14:paraId="532B3AB9">
      <w:pPr>
        <w:spacing w:line="520" w:lineRule="exact"/>
        <w:contextualSpacing/>
        <w:jc w:val="center"/>
        <w:rPr>
          <w:rFonts w:hint="eastAsia" w:ascii="宋体" w:hAnsi="宋体" w:eastAsia="宋体" w:cs="宋体"/>
          <w:b w:val="0"/>
          <w:bCs w:val="0"/>
          <w:color w:val="auto"/>
          <w:sz w:val="28"/>
          <w:szCs w:val="28"/>
        </w:rPr>
      </w:pPr>
    </w:p>
    <w:p w14:paraId="1A19CD9B">
      <w:pPr>
        <w:spacing w:line="520" w:lineRule="exact"/>
        <w:contextualSpacing/>
        <w:jc w:val="center"/>
        <w:rPr>
          <w:rFonts w:hint="eastAsia" w:ascii="宋体" w:hAnsi="宋体" w:eastAsia="宋体" w:cs="宋体"/>
          <w:b w:val="0"/>
          <w:bCs w:val="0"/>
          <w:color w:val="auto"/>
          <w:sz w:val="28"/>
          <w:szCs w:val="28"/>
        </w:rPr>
      </w:pPr>
    </w:p>
    <w:p w14:paraId="18796F71">
      <w:pPr>
        <w:spacing w:line="520" w:lineRule="exact"/>
        <w:contextualSpacing/>
        <w:jc w:val="center"/>
        <w:rPr>
          <w:rFonts w:hint="eastAsia" w:ascii="宋体" w:hAnsi="宋体" w:eastAsia="宋体" w:cs="宋体"/>
          <w:b w:val="0"/>
          <w:bCs w:val="0"/>
          <w:color w:val="auto"/>
          <w:sz w:val="28"/>
          <w:szCs w:val="28"/>
        </w:rPr>
      </w:pPr>
    </w:p>
    <w:p w14:paraId="4EEFFA97">
      <w:pPr>
        <w:spacing w:line="520" w:lineRule="exact"/>
        <w:contextualSpacing/>
        <w:jc w:val="center"/>
        <w:rPr>
          <w:rFonts w:hint="eastAsia" w:ascii="宋体" w:hAnsi="宋体" w:eastAsia="宋体" w:cs="宋体"/>
          <w:b w:val="0"/>
          <w:bCs w:val="0"/>
          <w:color w:val="auto"/>
          <w:sz w:val="28"/>
          <w:szCs w:val="28"/>
        </w:rPr>
      </w:pPr>
    </w:p>
    <w:p w14:paraId="37D53062">
      <w:pPr>
        <w:spacing w:line="520" w:lineRule="exact"/>
        <w:contextualSpacing/>
        <w:jc w:val="center"/>
        <w:rPr>
          <w:rFonts w:hint="eastAsia" w:ascii="宋体" w:hAnsi="宋体" w:eastAsia="宋体" w:cs="宋体"/>
          <w:b w:val="0"/>
          <w:bCs w:val="0"/>
          <w:color w:val="auto"/>
          <w:sz w:val="28"/>
          <w:szCs w:val="28"/>
        </w:rPr>
      </w:pPr>
    </w:p>
    <w:p w14:paraId="131C9972">
      <w:pPr>
        <w:spacing w:line="520" w:lineRule="exact"/>
        <w:contextualSpacing/>
        <w:jc w:val="both"/>
        <w:rPr>
          <w:rFonts w:hint="eastAsia" w:ascii="宋体" w:hAnsi="宋体" w:eastAsia="宋体" w:cs="宋体"/>
          <w:b w:val="0"/>
          <w:bCs w:val="0"/>
          <w:color w:val="auto"/>
          <w:sz w:val="28"/>
          <w:szCs w:val="28"/>
        </w:rPr>
      </w:pPr>
    </w:p>
    <w:p w14:paraId="0F23947A">
      <w:pPr>
        <w:spacing w:line="520" w:lineRule="exact"/>
        <w:contextualSpacing/>
        <w:jc w:val="center"/>
        <w:rPr>
          <w:rFonts w:hint="eastAsia" w:ascii="宋体" w:hAnsi="宋体" w:eastAsia="宋体" w:cs="宋体"/>
          <w:b w:val="0"/>
          <w:bCs w:val="0"/>
          <w:color w:val="auto"/>
          <w:sz w:val="28"/>
          <w:szCs w:val="28"/>
        </w:rPr>
      </w:pPr>
    </w:p>
    <w:p w14:paraId="361E5AA1">
      <w:pPr>
        <w:numPr>
          <w:ilvl w:val="0"/>
          <w:numId w:val="3"/>
        </w:numPr>
        <w:spacing w:line="520" w:lineRule="exact"/>
        <w:ind w:left="0" w:leftChars="0" w:firstLine="0" w:firstLineChars="0"/>
        <w:contextualSpacing/>
        <w:jc w:val="center"/>
        <w:rPr>
          <w:rFonts w:hint="eastAsia" w:ascii="宋体" w:hAnsi="宋体" w:eastAsia="宋体" w:cs="宋体"/>
          <w:b/>
          <w:color w:val="auto"/>
          <w:sz w:val="28"/>
          <w:szCs w:val="28"/>
        </w:rPr>
      </w:pPr>
      <w:bookmarkStart w:id="6" w:name="_Toc23787"/>
      <w:r>
        <w:rPr>
          <w:rFonts w:hint="eastAsia" w:ascii="宋体" w:hAnsi="宋体" w:eastAsia="宋体" w:cs="宋体"/>
          <w:b/>
          <w:color w:val="auto"/>
          <w:sz w:val="28"/>
          <w:szCs w:val="28"/>
        </w:rPr>
        <w:t xml:space="preserve"> 专用合同条款</w:t>
      </w:r>
      <w:bookmarkEnd w:id="6"/>
    </w:p>
    <w:p w14:paraId="2D3A6D04">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词语定义及合同文件</w:t>
      </w:r>
    </w:p>
    <w:p w14:paraId="43A4024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.合同文件及解释顺序</w:t>
      </w:r>
    </w:p>
    <w:p w14:paraId="41D81F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合同文件组成及解释顺序：</w:t>
      </w:r>
      <w:r>
        <w:rPr>
          <w:rFonts w:hint="eastAsia" w:ascii="宋体" w:hAnsi="宋体" w:eastAsia="宋体" w:cs="宋体"/>
          <w:b w:val="0"/>
          <w:bCs w:val="0"/>
          <w:color w:val="auto"/>
          <w:sz w:val="28"/>
          <w:szCs w:val="28"/>
          <w:u w:val="single"/>
        </w:rPr>
        <w:t>本合同协议书、中标通知书、本合同专用条款、通用条款、标准、规范、图纸、工程报价单或预算书及其附件、招标文件、答疑纪要及工程量清单、及有关技术文件。</w:t>
      </w:r>
    </w:p>
    <w:p w14:paraId="6D3A4CB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.语言文字和适用法律、标准及规范</w:t>
      </w:r>
    </w:p>
    <w:p w14:paraId="662ADF8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3458845</wp:posOffset>
                </wp:positionH>
                <wp:positionV relativeFrom="paragraph">
                  <wp:posOffset>46990</wp:posOffset>
                </wp:positionV>
                <wp:extent cx="675640" cy="119380"/>
                <wp:effectExtent l="635" t="4445" r="9525" b="9525"/>
                <wp:wrapNone/>
                <wp:docPr id="5" name="直接连接符 5"/>
                <wp:cNvGraphicFramePr/>
                <a:graphic xmlns:a="http://schemas.openxmlformats.org/drawingml/2006/main">
                  <a:graphicData uri="http://schemas.microsoft.com/office/word/2010/wordprocessingShape">
                    <wps:wsp>
                      <wps:cNvCnPr/>
                      <wps:spPr>
                        <a:xfrm flipV="1">
                          <a:off x="0" y="0"/>
                          <a:ext cx="675640" cy="1193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2.35pt;margin-top:3.7pt;height:9.4pt;width:53.2pt;z-index:251660288;mso-width-relative:page;mso-height-relative:page;" filled="f" stroked="t" coordsize="21600,21600" o:gfxdata="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K3jFNcAAAAIAQAADwAAAAAAAAABACAAAAAiAAAAZHJzL2Rv&#10;d25yZXYueG1sUEsBAhQAFAAAAAgAh07iQOpvckECAgAA8g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.1 本合同除使用汉语外，还使用________________语言文字。</w:t>
      </w:r>
    </w:p>
    <w:p w14:paraId="4E197DC8">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.2适用法律和法规</w:t>
      </w:r>
    </w:p>
    <w:p w14:paraId="419C2EF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需要明示的法律、行政法规：</w:t>
      </w:r>
      <w:r>
        <w:rPr>
          <w:rFonts w:hint="eastAsia" w:ascii="宋体" w:hAnsi="宋体" w:eastAsia="宋体" w:cs="宋体"/>
          <w:b w:val="0"/>
          <w:bCs w:val="0"/>
          <w:color w:val="auto"/>
          <w:sz w:val="28"/>
          <w:szCs w:val="28"/>
          <w:u w:val="single"/>
        </w:rPr>
        <w:t>《中华人民共和国建筑法》、《中华人民共和国</w:t>
      </w:r>
      <w:r>
        <w:rPr>
          <w:rFonts w:hint="eastAsia" w:hAnsi="宋体" w:cs="宋体"/>
          <w:b w:val="0"/>
          <w:bCs w:val="0"/>
          <w:color w:val="auto"/>
          <w:sz w:val="28"/>
          <w:szCs w:val="28"/>
          <w:u w:val="single"/>
          <w:lang w:val="en-US" w:eastAsia="zh-CN"/>
        </w:rPr>
        <w:t>民法典</w:t>
      </w:r>
      <w:r>
        <w:rPr>
          <w:rFonts w:hint="eastAsia" w:ascii="宋体" w:hAnsi="宋体" w:eastAsia="宋体" w:cs="宋体"/>
          <w:b w:val="0"/>
          <w:bCs w:val="0"/>
          <w:color w:val="auto"/>
          <w:sz w:val="28"/>
          <w:szCs w:val="28"/>
          <w:u w:val="single"/>
        </w:rPr>
        <w:t>》、《中华人民共和国招标投标法实施条例》国务院《建筑工程质量管理条例》、《安全生产管理条例》</w:t>
      </w:r>
      <w:r>
        <w:rPr>
          <w:rFonts w:hint="eastAsia" w:ascii="宋体" w:hAnsi="宋体" w:eastAsia="宋体" w:cs="宋体"/>
          <w:b w:val="0"/>
          <w:bCs w:val="0"/>
          <w:color w:val="auto"/>
          <w:sz w:val="28"/>
          <w:szCs w:val="28"/>
        </w:rPr>
        <w:t>。</w:t>
      </w:r>
    </w:p>
    <w:p w14:paraId="604E460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.3适用标准、规范</w:t>
      </w:r>
    </w:p>
    <w:p w14:paraId="66719EB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适用标准、规范的名称：</w:t>
      </w:r>
      <w:r>
        <w:rPr>
          <w:rFonts w:hint="eastAsia" w:ascii="宋体" w:hAnsi="宋体" w:eastAsia="宋体" w:cs="宋体"/>
          <w:b w:val="0"/>
          <w:bCs w:val="0"/>
          <w:color w:val="auto"/>
          <w:sz w:val="28"/>
          <w:szCs w:val="28"/>
          <w:u w:val="single"/>
        </w:rPr>
        <w:t>执行国家建筑工程施工及验收规范标准以及材料、设备所涉及的现行国家、省、市或行业的工程建设标准、规范的要求。</w:t>
      </w:r>
    </w:p>
    <w:p w14:paraId="0691CEBC">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4384" behindDoc="0" locked="0" layoutInCell="1" allowOverlap="1">
                <wp:simplePos x="0" y="0"/>
                <wp:positionH relativeFrom="column">
                  <wp:posOffset>3335020</wp:posOffset>
                </wp:positionH>
                <wp:positionV relativeFrom="paragraph">
                  <wp:posOffset>25400</wp:posOffset>
                </wp:positionV>
                <wp:extent cx="675640" cy="147955"/>
                <wp:effectExtent l="1270" t="4445" r="8890" b="19050"/>
                <wp:wrapNone/>
                <wp:docPr id="6" name="直接连接符 6"/>
                <wp:cNvGraphicFramePr/>
                <a:graphic xmlns:a="http://schemas.openxmlformats.org/drawingml/2006/main">
                  <a:graphicData uri="http://schemas.microsoft.com/office/word/2010/wordprocessingShape">
                    <wps:wsp>
                      <wps:cNvCnPr/>
                      <wps:spPr>
                        <a:xfrm flipV="1">
                          <a:off x="0" y="0"/>
                          <a:ext cx="675640" cy="1479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2.6pt;margin-top:2pt;height:11.65pt;width:53.2pt;z-index:251664384;mso-width-relative:page;mso-height-relative:page;" filled="f" stroked="t" coordsize="21600,21600" o:gfxdata="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AlwUtcAAAAIAQAADwAAAAAAAAABACAAAAAiAAAAZHJzL2Rvd25y&#10;ZXYueG1sUEsBAhQAFAAAAAgAh07iQLwsj/j/AQAA8gMAAA4AAAAAAAAAAQAgAAAAJgEAAGRycy9l&#10;Mm9Eb2MueG1sUEsFBgAAAAAGAAYAWQEAAJc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发包人提供标准、规范的时间：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3B91189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国内没有相应标准、规范时的约定：</w:t>
      </w:r>
      <w:r>
        <w:rPr>
          <w:rFonts w:hint="eastAsia" w:ascii="宋体" w:hAnsi="宋体" w:eastAsia="宋体" w:cs="宋体"/>
          <w:b w:val="0"/>
          <w:bCs w:val="0"/>
          <w:color w:val="auto"/>
          <w:sz w:val="28"/>
          <w:szCs w:val="28"/>
          <w:u w:val="single"/>
        </w:rPr>
        <w:t>按生产企业在技术监督局的备案标准、并经监理工程师和业主同意。</w:t>
      </w:r>
    </w:p>
    <w:p w14:paraId="5277807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.图纸</w:t>
      </w:r>
    </w:p>
    <w:p w14:paraId="7C8E21C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.1 发包人向承包人提供图纸日期和套数：</w:t>
      </w:r>
      <w:r>
        <w:rPr>
          <w:rFonts w:hint="eastAsia" w:ascii="宋体" w:hAnsi="宋体" w:eastAsia="宋体" w:cs="宋体"/>
          <w:b w:val="0"/>
          <w:bCs w:val="0"/>
          <w:color w:val="auto"/>
          <w:sz w:val="28"/>
          <w:szCs w:val="28"/>
          <w:u w:val="single"/>
        </w:rPr>
        <w:t>在合同签订3天内提供</w:t>
      </w:r>
      <w:r>
        <w:rPr>
          <w:rFonts w:hint="eastAsia" w:ascii="宋体" w:hAnsi="宋体" w:eastAsia="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single"/>
        </w:rPr>
        <w:t>套图纸。</w:t>
      </w:r>
    </w:p>
    <w:p w14:paraId="3E5534A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发包人对图纸的保密要求：</w:t>
      </w:r>
      <w:r>
        <w:rPr>
          <w:rFonts w:hint="eastAsia" w:ascii="宋体" w:hAnsi="宋体" w:eastAsia="宋体" w:cs="宋体"/>
          <w:b w:val="0"/>
          <w:bCs w:val="0"/>
          <w:color w:val="auto"/>
          <w:sz w:val="28"/>
          <w:szCs w:val="28"/>
          <w:u w:val="single"/>
        </w:rPr>
        <w:t>不得外挂、外借。</w:t>
      </w:r>
    </w:p>
    <w:p w14:paraId="12950F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二、双方一般权利和义务</w:t>
      </w:r>
    </w:p>
    <w:p w14:paraId="28705EC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.工程师</w:t>
      </w:r>
    </w:p>
    <w:p w14:paraId="79A4294B">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color w:val="auto"/>
          <w:sz w:val="28"/>
          <w:szCs w:val="28"/>
        </w:rPr>
        <w:t xml:space="preserve"> 监理单位委派的工程师</w:t>
      </w:r>
    </w:p>
    <w:p w14:paraId="0D54BE8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发包人委托的职权：</w:t>
      </w:r>
      <w:r>
        <w:rPr>
          <w:rFonts w:hint="eastAsia" w:ascii="宋体" w:hAnsi="宋体" w:eastAsia="宋体" w:cs="宋体"/>
          <w:b w:val="0"/>
          <w:bCs w:val="0"/>
          <w:color w:val="auto"/>
          <w:sz w:val="28"/>
          <w:szCs w:val="28"/>
          <w:u w:val="single"/>
        </w:rPr>
        <w:t>施工过程的质量、安全、进度控制、合同管理和信息管理，施工中各种矛盾，组织协调工作及全程监理。</w:t>
      </w:r>
      <w:r>
        <w:rPr>
          <w:rFonts w:hint="eastAsia" w:ascii="宋体" w:hAnsi="宋体" w:eastAsia="宋体" w:cs="宋体"/>
          <w:b w:val="0"/>
          <w:bCs w:val="0"/>
          <w:color w:val="auto"/>
          <w:sz w:val="28"/>
          <w:szCs w:val="28"/>
        </w:rPr>
        <w:t>需要取得发包人批准才能行使的职权：</w:t>
      </w:r>
      <w:r>
        <w:rPr>
          <w:rFonts w:hint="eastAsia" w:ascii="宋体" w:hAnsi="宋体" w:eastAsia="宋体" w:cs="宋体"/>
          <w:b w:val="0"/>
          <w:bCs w:val="0"/>
          <w:color w:val="auto"/>
          <w:sz w:val="28"/>
          <w:szCs w:val="28"/>
          <w:u w:val="single"/>
        </w:rPr>
        <w:t>重大工程洽商、设计变更、发包人指定价的认质、认品牌、供货商等在决策之前需经业主同意。</w:t>
      </w:r>
    </w:p>
    <w:p w14:paraId="421E8EC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发包人派驻的工程师</w:t>
      </w:r>
    </w:p>
    <w:p w14:paraId="39F14A8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职权：</w:t>
      </w:r>
      <w:r>
        <w:rPr>
          <w:rFonts w:hint="eastAsia" w:ascii="宋体" w:hAnsi="宋体" w:eastAsia="宋体" w:cs="宋体"/>
          <w:b w:val="0"/>
          <w:bCs w:val="0"/>
          <w:color w:val="auto"/>
          <w:sz w:val="28"/>
          <w:szCs w:val="28"/>
          <w:u w:val="single"/>
        </w:rPr>
        <w:t>负责施工全过程内、外部关系协调、处理往来文件，对工程进度、质量、安全、造价进行管理。</w:t>
      </w:r>
    </w:p>
    <w:p w14:paraId="21ED29E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5408" behindDoc="0" locked="0" layoutInCell="1" allowOverlap="1">
                <wp:simplePos x="0" y="0"/>
                <wp:positionH relativeFrom="column">
                  <wp:posOffset>3505200</wp:posOffset>
                </wp:positionH>
                <wp:positionV relativeFrom="paragraph">
                  <wp:posOffset>57785</wp:posOffset>
                </wp:positionV>
                <wp:extent cx="666750" cy="99060"/>
                <wp:effectExtent l="635" t="4445" r="18415" b="10795"/>
                <wp:wrapNone/>
                <wp:docPr id="7" name="直接连接符 7"/>
                <wp:cNvGraphicFramePr/>
                <a:graphic xmlns:a="http://schemas.openxmlformats.org/drawingml/2006/main">
                  <a:graphicData uri="http://schemas.microsoft.com/office/word/2010/wordprocessingShape">
                    <wps:wsp>
                      <wps:cNvCnPr/>
                      <wps:spPr>
                        <a:xfrm flipV="1">
                          <a:off x="0" y="0"/>
                          <a:ext cx="666750" cy="990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6pt;margin-top:4.55pt;height:7.8pt;width:52.5pt;z-index:251665408;mso-width-relative:page;mso-height-relative:page;" filled="f" stroked="t" coordsize="21600,21600" o:gfxdata="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Fjvx/XAAAACAEAAA8AAAAAAAAAAQAgAAAAIgAAAGRycy9kb3du&#10;cmV2LnhtbFBLAQIUABQAAAAIAIdO4kCf3LL8AAIAAPE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 xml:space="preserve"> 不实行监理的，工程师职权：</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786ADC2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5</w:t>
      </w:r>
      <w:r>
        <w:rPr>
          <w:rFonts w:hint="eastAsia" w:ascii="宋体" w:hAnsi="宋体" w:eastAsia="宋体" w:cs="宋体"/>
          <w:b w:val="0"/>
          <w:bCs w:val="0"/>
          <w:color w:val="auto"/>
          <w:sz w:val="28"/>
          <w:szCs w:val="28"/>
        </w:rPr>
        <w:t>.项目经理</w:t>
      </w:r>
    </w:p>
    <w:p w14:paraId="27E0A9A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姓名：</w:t>
      </w:r>
      <w:r>
        <w:rPr>
          <w:rFonts w:hint="eastAsia" w:ascii="宋体" w:hAnsi="宋体" w:eastAsia="宋体" w:cs="宋体"/>
          <w:b w:val="0"/>
          <w:bCs w:val="0"/>
          <w:color w:val="auto"/>
          <w:sz w:val="28"/>
          <w:szCs w:val="28"/>
          <w:u w:val="single"/>
        </w:rPr>
        <w:t xml:space="preserve"> </w:t>
      </w:r>
      <w:r>
        <w:rPr>
          <w:rFonts w:hint="eastAsia" w:hAnsi="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职务：</w:t>
      </w:r>
      <w:r>
        <w:rPr>
          <w:rFonts w:hint="eastAsia" w:ascii="宋体" w:hAnsi="宋体" w:eastAsia="宋体" w:cs="宋体"/>
          <w:b w:val="0"/>
          <w:bCs w:val="0"/>
          <w:color w:val="auto"/>
          <w:sz w:val="28"/>
          <w:szCs w:val="28"/>
          <w:u w:val="single"/>
        </w:rPr>
        <w:t xml:space="preserve">   项目经理   </w:t>
      </w:r>
      <w:r>
        <w:rPr>
          <w:rFonts w:hint="eastAsia" w:ascii="宋体" w:hAnsi="宋体" w:eastAsia="宋体" w:cs="宋体"/>
          <w:b w:val="0"/>
          <w:bCs w:val="0"/>
          <w:color w:val="auto"/>
          <w:sz w:val="28"/>
          <w:szCs w:val="28"/>
        </w:rPr>
        <w:t xml:space="preserve"> 项目经理的职责：</w:t>
      </w:r>
      <w:r>
        <w:rPr>
          <w:rFonts w:hint="eastAsia" w:ascii="宋体" w:hAnsi="宋体" w:eastAsia="宋体" w:cs="宋体"/>
          <w:b w:val="0"/>
          <w:bCs w:val="0"/>
          <w:color w:val="auto"/>
          <w:sz w:val="28"/>
          <w:szCs w:val="28"/>
          <w:u w:val="single"/>
        </w:rPr>
        <w:t>需到岗考勤，且每月在项目部的工作日不得少于</w:t>
      </w:r>
      <w:r>
        <w:rPr>
          <w:rFonts w:hint="eastAsia" w:hAnsi="宋体" w:cs="宋体"/>
          <w:b w:val="0"/>
          <w:bCs w:val="0"/>
          <w:color w:val="000000" w:themeColor="text1"/>
          <w:sz w:val="28"/>
          <w:szCs w:val="28"/>
          <w:u w:val="single"/>
          <w:lang w:val="en-US" w:eastAsia="zh-CN"/>
          <w14:textFill>
            <w14:solidFill>
              <w14:schemeClr w14:val="tx1"/>
            </w14:solidFill>
          </w14:textFill>
        </w:rPr>
        <w:t>施工时间80%</w:t>
      </w:r>
      <w:r>
        <w:rPr>
          <w:rFonts w:hint="eastAsia" w:ascii="宋体" w:hAnsi="宋体" w:eastAsia="宋体" w:cs="宋体"/>
          <w:b w:val="0"/>
          <w:bCs w:val="0"/>
          <w:color w:val="auto"/>
          <w:sz w:val="28"/>
          <w:szCs w:val="28"/>
          <w:u w:val="single"/>
        </w:rPr>
        <w:t>，否则承包方应承担违约责任。</w:t>
      </w:r>
    </w:p>
    <w:p w14:paraId="5727684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.发包人工作</w:t>
      </w:r>
      <w:r>
        <w:rPr>
          <w:rFonts w:hint="eastAsia" w:ascii="宋体" w:hAnsi="宋体" w:eastAsia="宋体" w:cs="宋体"/>
          <w:b w:val="0"/>
          <w:bCs w:val="0"/>
          <w:color w:val="auto"/>
          <w:sz w:val="28"/>
          <w:szCs w:val="28"/>
        </w:rPr>
        <w:tab/>
      </w:r>
    </w:p>
    <w:p w14:paraId="56F72282">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 xml:space="preserve">.1发包人应按约定的时间和要求完成以下工作： </w:t>
      </w:r>
    </w:p>
    <w:p w14:paraId="2A014190">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施工场地具备施工条件的要求及完成的时间：</w:t>
      </w:r>
      <w:r>
        <w:rPr>
          <w:rFonts w:hint="eastAsia" w:ascii="宋体" w:hAnsi="宋体" w:eastAsia="宋体" w:cs="宋体"/>
          <w:b w:val="0"/>
          <w:bCs w:val="0"/>
          <w:color w:val="auto"/>
          <w:sz w:val="28"/>
          <w:szCs w:val="28"/>
          <w:u w:val="single"/>
        </w:rPr>
        <w:t>三通一平，开工前5日内。</w:t>
      </w:r>
    </w:p>
    <w:p w14:paraId="6C10C635">
      <w:pPr>
        <w:pStyle w:val="3"/>
        <w:pageBreakBefore w:val="0"/>
        <w:numPr>
          <w:ilvl w:val="0"/>
          <w:numId w:val="5"/>
        </w:numPr>
        <w:kinsoku/>
        <w:wordWrap/>
        <w:overflowPunct/>
        <w:topLinePunct w:val="0"/>
        <w:bidi w:val="0"/>
        <w:adjustRightInd w:val="0"/>
        <w:snapToGrid w:val="0"/>
        <w:spacing w:line="440" w:lineRule="exact"/>
        <w:ind w:left="0" w:right="-7" w:rightChars="-3" w:firstLine="590"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pacing w:val="-4"/>
          <w:sz w:val="28"/>
          <w:szCs w:val="28"/>
        </w:rPr>
        <w:t>将施工所需的水、电、电讯线路接至施工场地的时间、地点和供应要求：</w:t>
      </w:r>
      <w:r>
        <w:rPr>
          <w:rFonts w:hint="eastAsia" w:ascii="宋体" w:hAnsi="宋体" w:eastAsia="宋体" w:cs="宋体"/>
          <w:b w:val="0"/>
          <w:bCs w:val="0"/>
          <w:color w:val="auto"/>
          <w:sz w:val="28"/>
          <w:szCs w:val="28"/>
          <w:u w:val="single"/>
        </w:rPr>
        <w:t>由发包人在开工前7日内将水、电引至施工现场，</w:t>
      </w:r>
      <w:r>
        <w:rPr>
          <w:rFonts w:hint="eastAsia" w:ascii="宋体" w:hAnsi="宋体" w:eastAsia="宋体" w:cs="宋体"/>
          <w:b w:val="0"/>
          <w:bCs w:val="0"/>
          <w:color w:val="auto"/>
          <w:sz w:val="28"/>
          <w:szCs w:val="28"/>
          <w:u w:val="single"/>
          <w:lang w:val="en-US" w:eastAsia="zh-CN"/>
        </w:rPr>
        <w:t>乙方</w:t>
      </w:r>
      <w:r>
        <w:rPr>
          <w:rFonts w:hint="eastAsia" w:ascii="宋体" w:hAnsi="宋体" w:eastAsia="宋体" w:cs="宋体"/>
          <w:b w:val="0"/>
          <w:bCs w:val="0"/>
          <w:color w:val="auto"/>
          <w:sz w:val="28"/>
          <w:szCs w:val="28"/>
          <w:u w:val="single"/>
        </w:rPr>
        <w:t>配备水、电表，并向发包人交纳水、电费。</w:t>
      </w:r>
    </w:p>
    <w:p w14:paraId="1789D1E9">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其计量和计价方法为：</w:t>
      </w:r>
      <w:r>
        <w:rPr>
          <w:rFonts w:hint="eastAsia" w:ascii="宋体" w:hAnsi="宋体" w:eastAsia="宋体" w:cs="宋体"/>
          <w:b w:val="0"/>
          <w:bCs w:val="0"/>
          <w:color w:val="auto"/>
          <w:sz w:val="28"/>
          <w:szCs w:val="28"/>
          <w:u w:val="single"/>
        </w:rPr>
        <w:t>按表计量，其价格按当地现行标准实行，通讯线路和设备施工单位自行解决。</w:t>
      </w:r>
    </w:p>
    <w:p w14:paraId="332E652D">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施工场地与公共道路的通道开通时间和要求：</w:t>
      </w:r>
      <w:r>
        <w:rPr>
          <w:rFonts w:hint="eastAsia" w:ascii="宋体" w:hAnsi="宋体" w:eastAsia="宋体" w:cs="宋体"/>
          <w:b w:val="0"/>
          <w:bCs w:val="0"/>
          <w:color w:val="auto"/>
          <w:sz w:val="28"/>
          <w:szCs w:val="28"/>
          <w:u w:val="single"/>
        </w:rPr>
        <w:t>开工前5日内。</w:t>
      </w:r>
    </w:p>
    <w:p w14:paraId="08ECE245">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工程地质和地下管线资料的提供时间：</w:t>
      </w:r>
      <w:r>
        <w:rPr>
          <w:rFonts w:hint="eastAsia" w:ascii="宋体" w:hAnsi="宋体" w:eastAsia="宋体" w:cs="宋体"/>
          <w:b w:val="0"/>
          <w:bCs w:val="0"/>
          <w:color w:val="auto"/>
          <w:sz w:val="28"/>
          <w:szCs w:val="28"/>
          <w:u w:val="single"/>
        </w:rPr>
        <w:t>开工前5日内。</w:t>
      </w:r>
    </w:p>
    <w:p w14:paraId="37F54E1A">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由发包人办理的施工所需证件、批件的名称和完成时间： </w:t>
      </w:r>
      <w:r>
        <w:rPr>
          <w:rFonts w:hint="eastAsia" w:ascii="宋体" w:hAnsi="宋体" w:eastAsia="宋体" w:cs="宋体"/>
          <w:b w:val="0"/>
          <w:bCs w:val="0"/>
          <w:color w:val="auto"/>
          <w:sz w:val="28"/>
          <w:szCs w:val="28"/>
          <w:u w:val="single"/>
        </w:rPr>
        <w:t>开工前5日内</w:t>
      </w:r>
    </w:p>
    <w:p w14:paraId="5E401E7C">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水准点与坐标控制点交验要求：</w:t>
      </w:r>
      <w:r>
        <w:rPr>
          <w:rFonts w:hint="eastAsia" w:ascii="宋体" w:hAnsi="宋体" w:eastAsia="宋体" w:cs="宋体"/>
          <w:b w:val="0"/>
          <w:bCs w:val="0"/>
          <w:color w:val="auto"/>
          <w:sz w:val="28"/>
          <w:szCs w:val="28"/>
          <w:u w:val="single"/>
        </w:rPr>
        <w:t>确定水准点与坐标控制点，以书面形式交给承包人，进行现场交验；</w:t>
      </w:r>
    </w:p>
    <w:p w14:paraId="13E0A1E2">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图纸会审和设计交底时间：</w:t>
      </w:r>
      <w:r>
        <w:rPr>
          <w:rFonts w:hint="eastAsia" w:ascii="宋体" w:hAnsi="宋体" w:eastAsia="宋体" w:cs="宋体"/>
          <w:b w:val="0"/>
          <w:bCs w:val="0"/>
          <w:color w:val="auto"/>
          <w:sz w:val="28"/>
          <w:szCs w:val="28"/>
          <w:u w:val="single"/>
        </w:rPr>
        <w:t>开工前5日内。</w:t>
      </w:r>
    </w:p>
    <w:p w14:paraId="229737FC">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协调处理施工场地周围地下管线和邻近建筑物、构筑物（含文物保护建筑）、古树名木的保护工作：</w:t>
      </w:r>
      <w:r>
        <w:rPr>
          <w:rFonts w:hint="eastAsia" w:ascii="宋体" w:hAnsi="宋体" w:eastAsia="宋体" w:cs="宋体"/>
          <w:b w:val="0"/>
          <w:bCs w:val="0"/>
          <w:color w:val="auto"/>
          <w:sz w:val="28"/>
          <w:szCs w:val="28"/>
          <w:u w:val="single"/>
        </w:rPr>
        <w:t>协调处理施工场地周围地下管线和邻近建筑物、构筑物（包括文物保护建筑）、古树名木的保护工作、承担有关费用；</w:t>
      </w:r>
    </w:p>
    <w:p w14:paraId="4AAE07F7">
      <w:pPr>
        <w:pStyle w:val="3"/>
        <w:pageBreakBefore w:val="0"/>
        <w:numPr>
          <w:ilvl w:val="0"/>
          <w:numId w:val="5"/>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3962400</wp:posOffset>
                </wp:positionH>
                <wp:positionV relativeFrom="paragraph">
                  <wp:posOffset>19685</wp:posOffset>
                </wp:positionV>
                <wp:extent cx="981710" cy="135255"/>
                <wp:effectExtent l="635" t="4445" r="8255" b="12700"/>
                <wp:wrapNone/>
                <wp:docPr id="4" name="直接连接符 4"/>
                <wp:cNvGraphicFramePr/>
                <a:graphic xmlns:a="http://schemas.openxmlformats.org/drawingml/2006/main">
                  <a:graphicData uri="http://schemas.microsoft.com/office/word/2010/wordprocessingShape">
                    <wps:wsp>
                      <wps:cNvCnPr/>
                      <wps:spPr>
                        <a:xfrm flipV="1">
                          <a:off x="0" y="0"/>
                          <a:ext cx="981710" cy="135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12pt;margin-top:1.55pt;height:10.65pt;width:77.3pt;z-index:251661312;mso-width-relative:page;mso-height-relative:page;" filled="f" stroked="t" coordsize="21600,21600" o:gfxdata="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qf5FXXAAAACAEAAA8AAAAAAAAAAQAgAAAAIgAAAGRycy9kb3ducmV2&#10;LnhtbFBLAQIUABQAAAAIAIdO4kAuapRm/QEAAPIDAAAOAAAAAAAAAAEAIAAAACYBAABkcnMvZTJv&#10;RG9jLnhtbFBLBQYAAAAABgAGAFkBAACV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双方约定发包人应做的其它工作：</w:t>
      </w:r>
      <w:r>
        <w:rPr>
          <w:rFonts w:hint="eastAsia" w:ascii="宋体" w:hAnsi="宋体" w:eastAsia="宋体" w:cs="宋体"/>
          <w:b w:val="0"/>
          <w:bCs w:val="0"/>
          <w:color w:val="auto"/>
          <w:sz w:val="28"/>
          <w:szCs w:val="28"/>
          <w:u w:val="single"/>
        </w:rPr>
        <w:t xml:space="preserve">                          </w:t>
      </w:r>
    </w:p>
    <w:p w14:paraId="3C19CB8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3933190</wp:posOffset>
                </wp:positionH>
                <wp:positionV relativeFrom="paragraph">
                  <wp:posOffset>56515</wp:posOffset>
                </wp:positionV>
                <wp:extent cx="935355" cy="104140"/>
                <wp:effectExtent l="635" t="4445" r="16510" b="5715"/>
                <wp:wrapNone/>
                <wp:docPr id="8" name="直接连接符 8"/>
                <wp:cNvGraphicFramePr/>
                <a:graphic xmlns:a="http://schemas.openxmlformats.org/drawingml/2006/main">
                  <a:graphicData uri="http://schemas.microsoft.com/office/word/2010/wordprocessingShape">
                    <wps:wsp>
                      <wps:cNvCnPr/>
                      <wps:spPr>
                        <a:xfrm flipV="1">
                          <a:off x="0" y="0"/>
                          <a:ext cx="935355" cy="1041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9.7pt;margin-top:4.45pt;height:8.2pt;width:73.65pt;z-index:251662336;mso-width-relative:page;mso-height-relative:page;" filled="f" stroked="t" coordsize="21600,21600" o:gfxdata="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nlw951wAAAAgBAAAPAAAAAAAAAAEAIAAAACIAAABkcnMvZG93&#10;bnJldi54bWxQSwECFAAUAAAACACHTuJAXeZVvA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6</w:t>
      </w:r>
      <w:r>
        <w:rPr>
          <w:rFonts w:hint="eastAsia" w:ascii="宋体" w:hAnsi="宋体" w:eastAsia="宋体" w:cs="宋体"/>
          <w:b w:val="0"/>
          <w:bCs w:val="0"/>
          <w:color w:val="auto"/>
          <w:sz w:val="28"/>
          <w:szCs w:val="28"/>
        </w:rPr>
        <w:t>.2 发包人委托承包人办理的工作：______________________________</w:t>
      </w:r>
    </w:p>
    <w:p w14:paraId="1FC6FC6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7</w:t>
      </w:r>
      <w:r>
        <w:rPr>
          <w:rFonts w:hint="eastAsia" w:ascii="宋体" w:hAnsi="宋体" w:eastAsia="宋体" w:cs="宋体"/>
          <w:b w:val="0"/>
          <w:bCs w:val="0"/>
          <w:color w:val="auto"/>
          <w:sz w:val="28"/>
          <w:szCs w:val="28"/>
        </w:rPr>
        <w:t>.承包人工作</w:t>
      </w:r>
    </w:p>
    <w:p w14:paraId="2935D96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承包人应按约定的时间和要求，完成以下工作：</w:t>
      </w:r>
    </w:p>
    <w:p w14:paraId="36A592E5">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3360" behindDoc="0" locked="0" layoutInCell="1" allowOverlap="1">
                <wp:simplePos x="0" y="0"/>
                <wp:positionH relativeFrom="column">
                  <wp:posOffset>963295</wp:posOffset>
                </wp:positionH>
                <wp:positionV relativeFrom="paragraph">
                  <wp:posOffset>377825</wp:posOffset>
                </wp:positionV>
                <wp:extent cx="833755" cy="137160"/>
                <wp:effectExtent l="635" t="4445" r="3810" b="10795"/>
                <wp:wrapNone/>
                <wp:docPr id="9" name="直接连接符 9"/>
                <wp:cNvGraphicFramePr/>
                <a:graphic xmlns:a="http://schemas.openxmlformats.org/drawingml/2006/main">
                  <a:graphicData uri="http://schemas.microsoft.com/office/word/2010/wordprocessingShape">
                    <wps:wsp>
                      <wps:cNvCnPr/>
                      <wps:spPr>
                        <a:xfrm flipV="1">
                          <a:off x="0" y="0"/>
                          <a:ext cx="833755"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75.85pt;margin-top:29.75pt;height:10.8pt;width:65.65pt;z-index:251663360;mso-width-relative:page;mso-height-relative:page;" filled="f" stroked="t" coordsize="21600,21600" o:gfxdata="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n27q11wAAAAkBAAAPAAAAAAAAAAEAIAAAACIAAABkcnMvZG93&#10;bnJldi54bWxQSwECFAAUAAAACACHTuJAH5iYWQ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 xml:space="preserve">需由设计资质等级和业务范围允许的承包人完成的设计文件提交时间：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4C426827">
      <w:pPr>
        <w:pageBreakBefore w:val="0"/>
        <w:widowControl/>
        <w:kinsoku/>
        <w:wordWrap/>
        <w:overflowPunct/>
        <w:topLinePunct w:val="0"/>
        <w:bidi w:val="0"/>
        <w:spacing w:line="440" w:lineRule="exact"/>
        <w:ind w:firstLine="280" w:firstLineChars="1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应提供计划、报表的名称及完成时间：</w:t>
      </w:r>
      <w:r>
        <w:rPr>
          <w:rFonts w:hint="eastAsia" w:ascii="宋体" w:hAnsi="宋体" w:eastAsia="宋体" w:cs="宋体"/>
          <w:b w:val="0"/>
          <w:bCs w:val="0"/>
          <w:color w:val="auto"/>
          <w:sz w:val="28"/>
          <w:szCs w:val="28"/>
          <w:u w:val="single"/>
        </w:rPr>
        <w:t>开工后10日内提交施工组织设计和施工总进度计划，并根据工程进度至少每三个月或按照工程师指令进行总进度计划的修订；每月25日前提交下月详细工程计划；每月26日前申报截止当月25日的月进度付款报表。</w:t>
      </w:r>
    </w:p>
    <w:p w14:paraId="4160F1F2">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承担施工安全保卫工作及非夜间施工照明的责任和要求：</w:t>
      </w:r>
      <w:r>
        <w:rPr>
          <w:rFonts w:hint="eastAsia" w:ascii="宋体" w:hAnsi="宋体" w:eastAsia="宋体" w:cs="宋体"/>
          <w:b w:val="0"/>
          <w:bCs w:val="0"/>
          <w:color w:val="auto"/>
          <w:sz w:val="28"/>
          <w:szCs w:val="28"/>
          <w:u w:val="single"/>
        </w:rPr>
        <w:t>根据工程需要，提供和维修夜间与非夜间施工使用的照明、围栏设施；负责施工现场安全保卫工作；承包人应严格按照《施工现场临时用电安全技术规范JG44-88》和《建设工程施工现场供用电安全规范GB50104-93》组织施工。上述相关费用已包含在合同协议所确定的合同价款当中。</w:t>
      </w:r>
    </w:p>
    <w:p w14:paraId="32BA6846">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向发包人提供的办公和生活房屋及设施的要求：</w:t>
      </w:r>
      <w:r>
        <w:rPr>
          <w:rFonts w:hint="eastAsia" w:ascii="宋体" w:hAnsi="宋体" w:eastAsia="宋体" w:cs="宋体"/>
          <w:b w:val="0"/>
          <w:bCs w:val="0"/>
          <w:color w:val="auto"/>
          <w:sz w:val="28"/>
          <w:szCs w:val="28"/>
          <w:u w:val="single"/>
        </w:rPr>
        <w:t>为甲方工地代表提供办公室，为监理工程师提供办公室，配备办公家具，其费用已含在合同价内；</w:t>
      </w:r>
    </w:p>
    <w:p w14:paraId="17A836F3">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需承包人办理的有关施工场地交通、环卫和施工噪音管理等手续：</w:t>
      </w:r>
      <w:r>
        <w:rPr>
          <w:rFonts w:hint="eastAsia" w:ascii="宋体" w:hAnsi="宋体" w:eastAsia="宋体" w:cs="宋体"/>
          <w:b w:val="0"/>
          <w:bCs w:val="0"/>
          <w:color w:val="auto"/>
          <w:sz w:val="28"/>
          <w:szCs w:val="28"/>
          <w:u w:val="single"/>
        </w:rPr>
        <w:t>遵守政府有关主管部门对施工场地安全防护、文明施工、环境保护以及场地交通等的管理规定，按规定办理有关手续，并以书面形式通知发包人；</w:t>
      </w:r>
    </w:p>
    <w:p w14:paraId="7DF64F93">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已完工程成品保护的特殊要求及费用承担：</w:t>
      </w:r>
      <w:r>
        <w:rPr>
          <w:rFonts w:hint="eastAsia" w:ascii="宋体" w:hAnsi="宋体" w:eastAsia="宋体" w:cs="宋体"/>
          <w:b w:val="0"/>
          <w:bCs w:val="0"/>
          <w:color w:val="auto"/>
          <w:sz w:val="28"/>
          <w:szCs w:val="28"/>
          <w:u w:val="single"/>
        </w:rPr>
        <w:t>已竣工工程未交付发包人之前，承包人按约定负责已完工程的保护工作，保护期间发生损坏，承包人自费予以修复；发包人要求承包人采取特殊措施保护的工程部位可相应的追加合同价款；</w:t>
      </w:r>
    </w:p>
    <w:p w14:paraId="12EA8758">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施工场地周围地下管线和邻近建筑物、构筑物(含文物保护建筑)、古树名木的保护要求及费用承担：</w:t>
      </w:r>
      <w:r>
        <w:rPr>
          <w:rFonts w:hint="eastAsia" w:ascii="宋体" w:hAnsi="宋体" w:eastAsia="宋体" w:cs="宋体"/>
          <w:b w:val="0"/>
          <w:bCs w:val="0"/>
          <w:color w:val="auto"/>
          <w:sz w:val="28"/>
          <w:szCs w:val="28"/>
          <w:u w:val="single"/>
        </w:rPr>
        <w:t>做好施工场地地下管线和邻近建筑物、构筑物（包括文物保护建筑）、古树名木的保护工作；如因施工方法不当造成损失由承包方承担。文物和管网保护费用经监理工程师和甲方项目负责人签认后由发包方承担。</w:t>
      </w:r>
    </w:p>
    <w:p w14:paraId="5355F97A">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施工场地清洁卫生的要求：</w:t>
      </w:r>
      <w:r>
        <w:rPr>
          <w:rFonts w:hint="eastAsia" w:ascii="宋体" w:hAnsi="宋体" w:eastAsia="宋体" w:cs="宋体"/>
          <w:b w:val="0"/>
          <w:bCs w:val="0"/>
          <w:color w:val="auto"/>
          <w:sz w:val="28"/>
          <w:szCs w:val="28"/>
          <w:u w:val="single"/>
        </w:rPr>
        <w:t>保证施工场地清洁符合环境卫生管理的有关规定，交工前清理现场达到专用条款约定的要求，承担因自身原因违反有关规定造成的损失和罚款；</w:t>
      </w:r>
    </w:p>
    <w:p w14:paraId="62EFB19B">
      <w:pPr>
        <w:pageBreakBefore w:val="0"/>
        <w:numPr>
          <w:ilvl w:val="0"/>
          <w:numId w:val="6"/>
        </w:numPr>
        <w:tabs>
          <w:tab w:val="left" w:pos="0"/>
          <w:tab w:val="clear" w:pos="376"/>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6432" behindDoc="0" locked="0" layoutInCell="1" allowOverlap="1">
                <wp:simplePos x="0" y="0"/>
                <wp:positionH relativeFrom="column">
                  <wp:posOffset>4373245</wp:posOffset>
                </wp:positionH>
                <wp:positionV relativeFrom="paragraph">
                  <wp:posOffset>28575</wp:posOffset>
                </wp:positionV>
                <wp:extent cx="700405" cy="137160"/>
                <wp:effectExtent l="635" t="4445" r="3810" b="10795"/>
                <wp:wrapNone/>
                <wp:docPr id="1" name="直接连接符 1"/>
                <wp:cNvGraphicFramePr/>
                <a:graphic xmlns:a="http://schemas.openxmlformats.org/drawingml/2006/main">
                  <a:graphicData uri="http://schemas.microsoft.com/office/word/2010/wordprocessingShape">
                    <wps:wsp>
                      <wps:cNvCnPr/>
                      <wps:spPr>
                        <a:xfrm flipV="1">
                          <a:off x="0" y="0"/>
                          <a:ext cx="700405" cy="137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44.35pt;margin-top:2.25pt;height:10.8pt;width:55.15pt;z-index:251666432;mso-width-relative:page;mso-height-relative:page;" filled="f" stroked="t" coordsize="21600,21600" o:gfxdata="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IFsoPXAAAACAEAAA8AAAAAAAAAAQAgAAAAIgAAAGRycy9kb3du&#10;cmV2LnhtbFBLAQIUABQAAAAIAIdO4kB+JDr1AAIAAPI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双方约定承包人应做的其它工作：</w:t>
      </w:r>
      <w:r>
        <w:rPr>
          <w:rFonts w:hint="eastAsia" w:ascii="宋体" w:hAnsi="宋体" w:eastAsia="宋体" w:cs="宋体"/>
          <w:b w:val="0"/>
          <w:bCs w:val="0"/>
          <w:color w:val="auto"/>
          <w:sz w:val="28"/>
          <w:szCs w:val="28"/>
          <w:u w:val="single"/>
        </w:rPr>
        <w:t xml:space="preserve">                                     </w:t>
      </w:r>
    </w:p>
    <w:p w14:paraId="122C745D">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施工组织设计和工期</w:t>
      </w:r>
    </w:p>
    <w:p w14:paraId="2932FA0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.进度计划</w:t>
      </w:r>
    </w:p>
    <w:p w14:paraId="2046D17A">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.1承包人提供施工组织设计(施工方案)和进度计划的时间：</w:t>
      </w:r>
      <w:r>
        <w:rPr>
          <w:rFonts w:hint="eastAsia" w:ascii="宋体" w:hAnsi="宋体" w:eastAsia="宋体" w:cs="宋体"/>
          <w:b w:val="0"/>
          <w:bCs w:val="0"/>
          <w:color w:val="auto"/>
          <w:sz w:val="28"/>
          <w:szCs w:val="28"/>
          <w:u w:val="single"/>
        </w:rPr>
        <w:t xml:space="preserve">开工前十日内   </w:t>
      </w:r>
    </w:p>
    <w:p w14:paraId="71B3DF30">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工程师确定的时间：</w:t>
      </w:r>
      <w:r>
        <w:rPr>
          <w:rFonts w:hint="eastAsia" w:ascii="宋体" w:hAnsi="宋体" w:eastAsia="宋体" w:cs="宋体"/>
          <w:b w:val="0"/>
          <w:bCs w:val="0"/>
          <w:color w:val="auto"/>
          <w:sz w:val="28"/>
          <w:szCs w:val="28"/>
          <w:u w:val="single"/>
        </w:rPr>
        <w:t xml:space="preserve">    五日内      </w:t>
      </w:r>
    </w:p>
    <w:p w14:paraId="72D0C7FE">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.2群体工程中有关进度计划的要求：</w:t>
      </w:r>
      <w:r>
        <w:rPr>
          <w:rFonts w:hint="eastAsia" w:ascii="宋体" w:hAnsi="宋体" w:eastAsia="宋体" w:cs="宋体"/>
          <w:b w:val="0"/>
          <w:bCs w:val="0"/>
          <w:color w:val="auto"/>
          <w:sz w:val="28"/>
          <w:szCs w:val="28"/>
          <w:u w:val="single"/>
        </w:rPr>
        <w:t>开工前十日内</w:t>
      </w:r>
    </w:p>
    <w:p w14:paraId="79B042A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9</w:t>
      </w:r>
      <w:r>
        <w:rPr>
          <w:rFonts w:hint="eastAsia" w:ascii="宋体" w:hAnsi="宋体" w:eastAsia="宋体" w:cs="宋体"/>
          <w:b w:val="0"/>
          <w:bCs w:val="0"/>
          <w:color w:val="auto"/>
          <w:sz w:val="28"/>
          <w:szCs w:val="28"/>
        </w:rPr>
        <w:t>.工期延误</w:t>
      </w:r>
    </w:p>
    <w:p w14:paraId="00A2FE92">
      <w:pPr>
        <w:pStyle w:val="9"/>
        <w:pageBreakBefore w:val="0"/>
        <w:kinsoku/>
        <w:wordWrap/>
        <w:overflowPunct/>
        <w:topLinePunct w:val="0"/>
        <w:bidi w:val="0"/>
        <w:spacing w:before="0" w:beforeLines="0" w:after="0" w:afterLines="0" w:line="440" w:lineRule="exact"/>
        <w:ind w:left="0" w:right="-7" w:rightChars="-3" w:firstLine="610" w:firstLineChars="218"/>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双方约定工期顺延的其他情况：</w:t>
      </w:r>
      <w:r>
        <w:rPr>
          <w:rFonts w:hint="eastAsia" w:ascii="宋体" w:hAnsi="宋体" w:eastAsia="宋体" w:cs="宋体"/>
          <w:b w:val="0"/>
          <w:bCs w:val="0"/>
          <w:color w:val="auto"/>
          <w:sz w:val="28"/>
          <w:szCs w:val="28"/>
          <w:u w:val="single"/>
        </w:rPr>
        <w:t xml:space="preserve">工期延误 </w:t>
      </w:r>
      <w:r>
        <w:rPr>
          <w:rFonts w:hint="eastAsia" w:ascii="宋体" w:hAnsi="宋体" w:eastAsia="宋体" w:cs="宋体"/>
          <w:b w:val="0"/>
          <w:bCs w:val="0"/>
          <w:color w:val="auto"/>
          <w:kern w:val="2"/>
          <w:sz w:val="28"/>
          <w:szCs w:val="28"/>
          <w:u w:val="single"/>
        </w:rPr>
        <w:t>1、因以下原因造成工期延误，经工程师确认，工期相应顺延：（1）发包人未能按专用条款的约定提供图纸及开工条件；（2）工程师未按合同约定提供所需指令、批准等，致使施工不能正常进行；（3）设计变更和工程量增加；（4）一周内非承包人原因停水、停电、造成停工累计超过8小时；（5）不可抗力；（6）专用条款中约定或工程师同意工期顺延的其他情况。</w:t>
      </w:r>
      <w:r>
        <w:rPr>
          <w:rFonts w:hint="eastAsia" w:ascii="宋体" w:hAnsi="宋体" w:eastAsia="宋体" w:cs="宋体"/>
          <w:b w:val="0"/>
          <w:bCs w:val="0"/>
          <w:color w:val="auto"/>
          <w:sz w:val="28"/>
          <w:szCs w:val="28"/>
          <w:u w:val="single"/>
        </w:rPr>
        <w:t xml:space="preserve">2、承包人在13.1款情况发生后14天内，就延误的工期以书面形式向工程师提出报告。工程师在收到报告后14天内予以确认，逾期不予确认也不提出修改意见，视为同意顺延工期。 </w:t>
      </w:r>
    </w:p>
    <w:p w14:paraId="2265D60D">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质量与检验</w:t>
      </w:r>
    </w:p>
    <w:p w14:paraId="0801667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10</w:t>
      </w:r>
      <w:r>
        <w:rPr>
          <w:rFonts w:hint="eastAsia" w:ascii="宋体" w:hAnsi="宋体" w:eastAsia="宋体" w:cs="宋体"/>
          <w:b w:val="0"/>
          <w:bCs w:val="0"/>
          <w:color w:val="auto"/>
          <w:sz w:val="28"/>
          <w:szCs w:val="28"/>
        </w:rPr>
        <w:t>、隐蔽工程和中间验收</w:t>
      </w:r>
    </w:p>
    <w:p w14:paraId="7BFDA252">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pacing w:val="8"/>
          <w:sz w:val="28"/>
          <w:szCs w:val="28"/>
          <w:u w:val="single"/>
        </w:rPr>
      </w:pPr>
      <w:r>
        <w:rPr>
          <w:rFonts w:hint="eastAsia" w:ascii="宋体" w:hAnsi="宋体" w:eastAsia="宋体" w:cs="宋体"/>
          <w:b w:val="0"/>
          <w:bCs w:val="0"/>
          <w:color w:val="auto"/>
          <w:sz w:val="28"/>
          <w:szCs w:val="28"/>
        </w:rPr>
        <w:t>双方约定中间验收部位</w:t>
      </w:r>
      <w:r>
        <w:rPr>
          <w:rFonts w:hint="eastAsia" w:ascii="宋体" w:hAnsi="宋体" w:eastAsia="宋体" w:cs="宋体"/>
          <w:b w:val="0"/>
          <w:bCs w:val="0"/>
          <w:color w:val="auto"/>
          <w:sz w:val="28"/>
          <w:szCs w:val="28"/>
          <w:u w:val="single"/>
        </w:rPr>
        <w:t>：</w:t>
      </w:r>
      <w:r>
        <w:rPr>
          <w:rFonts w:hint="eastAsia" w:ascii="宋体" w:hAnsi="宋体" w:eastAsia="宋体" w:cs="宋体"/>
          <w:b w:val="0"/>
          <w:bCs w:val="0"/>
          <w:color w:val="auto"/>
          <w:spacing w:val="8"/>
          <w:sz w:val="28"/>
          <w:szCs w:val="28"/>
          <w:u w:val="single"/>
        </w:rPr>
        <w:t>除按规定进行正常隐蔽工程验收和分项验收外，中间验按国家规定的分部验收进行。</w:t>
      </w:r>
    </w:p>
    <w:p w14:paraId="068AC8AD">
      <w:pPr>
        <w:pStyle w:val="3"/>
        <w:pageBreakBefore w:val="0"/>
        <w:kinsoku/>
        <w:wordWrap/>
        <w:overflowPunct/>
        <w:topLinePunct w:val="0"/>
        <w:bidi w:val="0"/>
        <w:adjustRightInd w:val="0"/>
        <w:snapToGrid w:val="0"/>
        <w:spacing w:line="440" w:lineRule="exact"/>
        <w:ind w:right="-7" w:rightChars="-3" w:firstLine="642" w:firstLineChars="217"/>
        <w:textAlignment w:val="auto"/>
        <w:rPr>
          <w:rFonts w:hint="eastAsia" w:ascii="宋体" w:hAnsi="宋体" w:eastAsia="宋体" w:cs="宋体"/>
          <w:b w:val="0"/>
          <w:bCs w:val="0"/>
          <w:color w:val="auto"/>
          <w:spacing w:val="8"/>
          <w:sz w:val="28"/>
          <w:szCs w:val="28"/>
        </w:rPr>
      </w:pPr>
      <w:r>
        <w:rPr>
          <w:rFonts w:hint="eastAsia" w:ascii="宋体" w:hAnsi="宋体" w:eastAsia="宋体" w:cs="宋体"/>
          <w:b w:val="0"/>
          <w:bCs w:val="0"/>
          <w:color w:val="auto"/>
          <w:spacing w:val="8"/>
          <w:sz w:val="28"/>
          <w:szCs w:val="28"/>
        </w:rPr>
        <w:t>1</w:t>
      </w:r>
      <w:r>
        <w:rPr>
          <w:rFonts w:hint="eastAsia" w:ascii="宋体" w:hAnsi="宋体" w:eastAsia="宋体" w:cs="宋体"/>
          <w:b w:val="0"/>
          <w:bCs w:val="0"/>
          <w:color w:val="auto"/>
          <w:spacing w:val="8"/>
          <w:sz w:val="28"/>
          <w:szCs w:val="28"/>
          <w:lang w:val="en-US" w:eastAsia="zh-CN"/>
        </w:rPr>
        <w:t>1</w:t>
      </w:r>
      <w:r>
        <w:rPr>
          <w:rFonts w:hint="eastAsia" w:ascii="宋体" w:hAnsi="宋体" w:eastAsia="宋体" w:cs="宋体"/>
          <w:b w:val="0"/>
          <w:bCs w:val="0"/>
          <w:color w:val="auto"/>
          <w:spacing w:val="8"/>
          <w:sz w:val="28"/>
          <w:szCs w:val="28"/>
        </w:rPr>
        <w:t>、竣工验收</w:t>
      </w:r>
    </w:p>
    <w:p w14:paraId="473324A5">
      <w:pPr>
        <w:pStyle w:val="3"/>
        <w:pageBreakBefore w:val="0"/>
        <w:kinsoku/>
        <w:wordWrap/>
        <w:overflowPunct/>
        <w:topLinePunct w:val="0"/>
        <w:bidi w:val="0"/>
        <w:adjustRightInd w:val="0"/>
        <w:snapToGrid w:val="0"/>
        <w:spacing w:line="440" w:lineRule="exact"/>
        <w:ind w:right="-7" w:rightChars="-3" w:firstLine="938" w:firstLineChars="317"/>
        <w:textAlignment w:val="auto"/>
        <w:rPr>
          <w:rFonts w:hint="eastAsia" w:ascii="宋体" w:hAnsi="宋体" w:eastAsia="宋体" w:cs="宋体"/>
          <w:b w:val="0"/>
          <w:bCs w:val="0"/>
          <w:color w:val="auto"/>
          <w:spacing w:val="8"/>
          <w:sz w:val="28"/>
          <w:szCs w:val="28"/>
        </w:rPr>
      </w:pPr>
      <w:r>
        <w:rPr>
          <w:rFonts w:hint="eastAsia" w:ascii="宋体" w:hAnsi="宋体" w:eastAsia="宋体" w:cs="宋体"/>
          <w:b w:val="0"/>
          <w:bCs w:val="0"/>
          <w:color w:val="auto"/>
          <w:spacing w:val="8"/>
          <w:sz w:val="28"/>
          <w:szCs w:val="28"/>
        </w:rPr>
        <w:t xml:space="preserve"> 整体验收。</w:t>
      </w:r>
    </w:p>
    <w:p w14:paraId="2F55037D">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.工程试车</w:t>
      </w:r>
    </w:p>
    <w:p w14:paraId="0E30B2D0">
      <w:pPr>
        <w:pageBreakBefore w:val="0"/>
        <w:kinsoku/>
        <w:wordWrap/>
        <w:overflowPunct/>
        <w:topLinePunct w:val="0"/>
        <w:bidi w:val="0"/>
        <w:adjustRightInd w:val="0"/>
        <w:snapToGrid w:val="0"/>
        <w:spacing w:line="440" w:lineRule="exact"/>
        <w:ind w:right="-7" w:rightChars="-3" w:firstLine="1167" w:firstLineChars="4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试车费用的承担：</w:t>
      </w:r>
      <w:r>
        <w:rPr>
          <w:rFonts w:hint="eastAsia" w:ascii="宋体" w:hAnsi="宋体" w:eastAsia="宋体" w:cs="宋体"/>
          <w:b w:val="0"/>
          <w:bCs w:val="0"/>
          <w:color w:val="auto"/>
          <w:sz w:val="28"/>
          <w:szCs w:val="28"/>
          <w:u w:val="single"/>
        </w:rPr>
        <w:t>无</w:t>
      </w:r>
    </w:p>
    <w:p w14:paraId="52070280">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安全防护、文明施工</w:t>
      </w:r>
    </w:p>
    <w:p w14:paraId="17B14F41">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u w:val="single"/>
        </w:rPr>
        <w:t>执行“通用条款”第五条全部条款和国家、省、市安全文明施工的要求和规定。安全防护，文明施工措施费用已包含在承包人的合同价款中，发包人不另行支付。</w:t>
      </w:r>
    </w:p>
    <w:p w14:paraId="0742E1FA">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合同价款与支付</w:t>
      </w:r>
    </w:p>
    <w:p w14:paraId="0C23B94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13</w:t>
      </w:r>
      <w:r>
        <w:rPr>
          <w:rFonts w:hint="eastAsia" w:ascii="宋体" w:hAnsi="宋体" w:eastAsia="宋体" w:cs="宋体"/>
          <w:b w:val="0"/>
          <w:bCs w:val="0"/>
          <w:color w:val="auto"/>
          <w:sz w:val="28"/>
          <w:szCs w:val="28"/>
        </w:rPr>
        <w:t>、合同价款约定</w:t>
      </w:r>
    </w:p>
    <w:p w14:paraId="01C925EB">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本合同价款采用</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w:t>
      </w:r>
      <w:r>
        <w:rPr>
          <w:rFonts w:hint="eastAsia" w:ascii="宋体" w:hAnsi="宋体" w:cs="宋体"/>
          <w:b w:val="0"/>
          <w:bCs w:val="0"/>
          <w:color w:val="auto"/>
          <w:sz w:val="28"/>
          <w:szCs w:val="28"/>
          <w:u w:val="single"/>
          <w:lang w:val="en-US" w:eastAsia="zh-CN"/>
        </w:rPr>
        <w:t>2</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方式确定。</w:t>
      </w:r>
    </w:p>
    <w:p w14:paraId="5879813D">
      <w:pPr>
        <w:pageBreakBefore w:val="0"/>
        <w:numPr>
          <w:ilvl w:val="0"/>
          <w:numId w:val="7"/>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采用固定总价合同，合同价款中包括的</w:t>
      </w:r>
      <w:r>
        <w:rPr>
          <w:rFonts w:hint="eastAsia" w:ascii="宋体" w:hAnsi="宋体" w:eastAsia="宋体" w:cs="宋体"/>
          <w:b w:val="0"/>
          <w:bCs w:val="0"/>
          <w:color w:val="auto"/>
          <w:sz w:val="28"/>
          <w:szCs w:val="28"/>
          <w:lang w:val="en-US" w:eastAsia="zh-CN"/>
        </w:rPr>
        <w:t>风险</w:t>
      </w:r>
      <w:r>
        <w:rPr>
          <w:rFonts w:hint="eastAsia" w:ascii="宋体" w:hAnsi="宋体" w:eastAsia="宋体" w:cs="宋体"/>
          <w:b w:val="0"/>
          <w:bCs w:val="0"/>
          <w:color w:val="auto"/>
          <w:sz w:val="28"/>
          <w:szCs w:val="28"/>
        </w:rPr>
        <w:t>范围：</w:t>
      </w:r>
      <w:r>
        <w:rPr>
          <w:rFonts w:hint="eastAsia" w:ascii="宋体" w:hAnsi="宋体" w:eastAsia="宋体" w:cs="宋体"/>
          <w:b w:val="0"/>
          <w:bCs w:val="0"/>
          <w:color w:val="000000" w:themeColor="text1"/>
          <w:sz w:val="28"/>
          <w:szCs w:val="28"/>
          <w:u w:val="single"/>
          <w:lang w:val="en-US" w:eastAsia="zh-CN"/>
          <w14:textFill>
            <w14:solidFill>
              <w14:schemeClr w14:val="tx1"/>
            </w14:solidFill>
          </w14:textFill>
        </w:rPr>
        <w:t xml:space="preserve">     /     </w:t>
      </w:r>
    </w:p>
    <w:p w14:paraId="17CB1436">
      <w:pPr>
        <w:pageBreakBefore w:val="0"/>
        <w:numPr>
          <w:ilvl w:val="0"/>
          <w:numId w:val="7"/>
        </w:numPr>
        <w:tabs>
          <w:tab w:val="left" w:pos="0"/>
          <w:tab w:val="clear" w:pos="560"/>
        </w:tabs>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采用固定综合单价合同，综合单价中包括的风险范围：</w:t>
      </w:r>
      <w:r>
        <w:rPr>
          <w:rFonts w:hint="eastAsia" w:ascii="宋体" w:hAnsi="宋体" w:eastAsia="宋体" w:cs="宋体"/>
          <w:b w:val="0"/>
          <w:bCs w:val="0"/>
          <w:color w:val="auto"/>
          <w:sz w:val="28"/>
          <w:szCs w:val="28"/>
          <w:u w:val="single"/>
        </w:rPr>
        <w:t>管理费、措施费、利润均包含在正常风险范围内。</w:t>
      </w:r>
    </w:p>
    <w:p w14:paraId="11E9035C">
      <w:pPr>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（3）双方约定合同价款的其他调整因素：</w:t>
      </w:r>
      <w:r>
        <w:rPr>
          <w:rFonts w:hint="eastAsia" w:ascii="宋体" w:hAnsi="宋体" w:eastAsia="宋体" w:cs="宋体"/>
          <w:b w:val="0"/>
          <w:bCs w:val="0"/>
          <w:color w:val="auto"/>
          <w:sz w:val="28"/>
          <w:szCs w:val="28"/>
          <w:u w:val="single"/>
        </w:rPr>
        <w:t>发包人根据国家实际需要对图纸做出变更，对此发包人提出相应变更后的工程量清单，由承包人进行组价。组价的原则是：与原清单相同的清单项，起组价内容和综合单价不变，与原清单中只有类式于新工程量清单项目的综合单价，可参照类似综合单价变更合同价款，原清单没有的清单项，按（2009）《陕西省建筑工程工程量清单计价规则》及其配套消耗量定额和参考费率标准进行组价，变更后的工程量清单组价由发包人审核同意后作为调整依据。人工费、材料费</w:t>
      </w:r>
      <w:r>
        <w:rPr>
          <w:rFonts w:hint="eastAsia" w:ascii="宋体" w:hAnsi="宋体" w:eastAsia="宋体" w:cs="宋体"/>
          <w:b w:val="0"/>
          <w:bCs w:val="0"/>
          <w:color w:val="auto"/>
          <w:sz w:val="28"/>
          <w:szCs w:val="28"/>
          <w:u w:val="single"/>
          <w:lang w:val="en-US" w:eastAsia="zh-CN"/>
        </w:rPr>
        <w:t>因</w:t>
      </w:r>
      <w:r>
        <w:rPr>
          <w:rFonts w:hint="eastAsia" w:ascii="宋体" w:hAnsi="宋体" w:eastAsia="宋体" w:cs="宋体"/>
          <w:b w:val="0"/>
          <w:bCs w:val="0"/>
          <w:color w:val="auto"/>
          <w:sz w:val="28"/>
          <w:szCs w:val="28"/>
          <w:u w:val="single"/>
        </w:rPr>
        <w:t>政策性调整</w:t>
      </w:r>
      <w:r>
        <w:rPr>
          <w:rFonts w:hint="eastAsia" w:ascii="宋体" w:hAnsi="宋体" w:eastAsia="宋体" w:cs="宋体"/>
          <w:b w:val="0"/>
          <w:bCs w:val="0"/>
          <w:color w:val="auto"/>
          <w:sz w:val="28"/>
          <w:szCs w:val="28"/>
          <w:u w:val="single"/>
          <w:lang w:val="en-US" w:eastAsia="zh-CN"/>
        </w:rPr>
        <w:t>可</w:t>
      </w:r>
      <w:r>
        <w:rPr>
          <w:rFonts w:hint="eastAsia" w:ascii="宋体" w:hAnsi="宋体" w:eastAsia="宋体" w:cs="宋体"/>
          <w:b w:val="0"/>
          <w:bCs w:val="0"/>
          <w:color w:val="auto"/>
          <w:sz w:val="28"/>
          <w:szCs w:val="28"/>
          <w:u w:val="single"/>
        </w:rPr>
        <w:t>进行合同价款</w:t>
      </w:r>
      <w:r>
        <w:rPr>
          <w:rFonts w:hint="eastAsia" w:ascii="宋体" w:hAnsi="宋体" w:eastAsia="宋体" w:cs="宋体"/>
          <w:b w:val="0"/>
          <w:bCs w:val="0"/>
          <w:color w:val="auto"/>
          <w:sz w:val="28"/>
          <w:szCs w:val="28"/>
          <w:u w:val="single"/>
          <w:lang w:val="en-US" w:eastAsia="zh-CN"/>
        </w:rPr>
        <w:t>相应</w:t>
      </w:r>
      <w:r>
        <w:rPr>
          <w:rFonts w:hint="eastAsia" w:ascii="宋体" w:hAnsi="宋体" w:eastAsia="宋体" w:cs="宋体"/>
          <w:b w:val="0"/>
          <w:bCs w:val="0"/>
          <w:color w:val="auto"/>
          <w:sz w:val="28"/>
          <w:szCs w:val="28"/>
          <w:u w:val="single"/>
        </w:rPr>
        <w:t>调整。</w:t>
      </w:r>
    </w:p>
    <w:p w14:paraId="6C91598C">
      <w:pPr>
        <w:pageBreakBefore w:val="0"/>
        <w:tabs>
          <w:tab w:val="left" w:pos="827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14</w:t>
      </w:r>
      <w:r>
        <w:rPr>
          <w:rFonts w:hint="eastAsia" w:ascii="宋体" w:hAnsi="宋体" w:eastAsia="宋体" w:cs="宋体"/>
          <w:b w:val="0"/>
          <w:bCs w:val="0"/>
          <w:color w:val="auto"/>
          <w:sz w:val="28"/>
          <w:szCs w:val="28"/>
        </w:rPr>
        <w:t>、合同价款调整</w:t>
      </w:r>
      <w:r>
        <w:rPr>
          <w:rFonts w:hint="eastAsia" w:ascii="宋体" w:hAnsi="宋体" w:eastAsia="宋体" w:cs="宋体"/>
          <w:b w:val="0"/>
          <w:bCs w:val="0"/>
          <w:color w:val="auto"/>
          <w:sz w:val="28"/>
          <w:szCs w:val="28"/>
        </w:rPr>
        <w:tab/>
      </w:r>
    </w:p>
    <w:p w14:paraId="72B6C382">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双方约定合同价款的其他调整因素： </w:t>
      </w:r>
    </w:p>
    <w:p w14:paraId="6B0E6F55">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u w:val="single"/>
        </w:rPr>
        <w:t>发</w:t>
      </w:r>
      <w:r>
        <w:rPr>
          <w:rFonts w:hint="eastAsia" w:ascii="宋体" w:hAnsi="宋体" w:eastAsia="宋体" w:cs="宋体"/>
          <w:b w:val="0"/>
          <w:bCs w:val="0"/>
          <w:color w:val="auto"/>
          <w:spacing w:val="4"/>
          <w:sz w:val="28"/>
          <w:szCs w:val="28"/>
          <w:u w:val="single"/>
        </w:rPr>
        <w:t>包人根据实际需要对图纸做出变更，对此</w:t>
      </w:r>
      <w:r>
        <w:rPr>
          <w:rFonts w:hint="eastAsia" w:ascii="宋体" w:hAnsi="宋体" w:eastAsia="宋体" w:cs="宋体"/>
          <w:b w:val="0"/>
          <w:bCs w:val="0"/>
          <w:color w:val="auto"/>
          <w:sz w:val="28"/>
          <w:szCs w:val="28"/>
          <w:u w:val="single"/>
        </w:rPr>
        <w:t>发</w:t>
      </w:r>
      <w:r>
        <w:rPr>
          <w:rFonts w:hint="eastAsia" w:ascii="宋体" w:hAnsi="宋体" w:eastAsia="宋体" w:cs="宋体"/>
          <w:b w:val="0"/>
          <w:bCs w:val="0"/>
          <w:color w:val="auto"/>
          <w:spacing w:val="4"/>
          <w:sz w:val="28"/>
          <w:szCs w:val="28"/>
          <w:u w:val="single"/>
        </w:rPr>
        <w:t>包人提出相应变更后的工程量清单，由</w:t>
      </w:r>
      <w:r>
        <w:rPr>
          <w:rFonts w:hint="eastAsia" w:ascii="宋体" w:hAnsi="宋体" w:eastAsia="宋体" w:cs="宋体"/>
          <w:b w:val="0"/>
          <w:bCs w:val="0"/>
          <w:color w:val="auto"/>
          <w:sz w:val="28"/>
          <w:szCs w:val="28"/>
          <w:u w:val="single"/>
        </w:rPr>
        <w:t>承包人进行组价。组价的原则是：与原清单相同的清单项，其组价内容和综合单价不变，与原清单中只有类似于新工程量清单项目的综合单价，可参照类似综合单价变更合同价款，原清单没有的清单项，</w:t>
      </w:r>
      <w:r>
        <w:rPr>
          <w:rFonts w:hint="eastAsia" w:ascii="宋体" w:hAnsi="宋体" w:eastAsia="宋体" w:cs="宋体"/>
          <w:b w:val="0"/>
          <w:bCs w:val="0"/>
          <w:snapToGrid w:val="0"/>
          <w:color w:val="auto"/>
          <w:sz w:val="28"/>
          <w:szCs w:val="28"/>
          <w:u w:val="single"/>
        </w:rPr>
        <w:t>按(2009)《陕西省建筑工程工程量清单计价规则》及其配套消耗量定额和参考费率标准进行组价，</w:t>
      </w:r>
      <w:r>
        <w:rPr>
          <w:rFonts w:hint="eastAsia" w:ascii="宋体" w:hAnsi="宋体" w:eastAsia="宋体" w:cs="宋体"/>
          <w:b w:val="0"/>
          <w:bCs w:val="0"/>
          <w:color w:val="auto"/>
          <w:spacing w:val="4"/>
          <w:sz w:val="28"/>
          <w:szCs w:val="28"/>
          <w:u w:val="single"/>
        </w:rPr>
        <w:t>变更后的工程量清单组价</w:t>
      </w:r>
      <w:r>
        <w:rPr>
          <w:rFonts w:hint="eastAsia" w:ascii="宋体" w:hAnsi="宋体" w:eastAsia="宋体" w:cs="宋体"/>
          <w:b w:val="0"/>
          <w:bCs w:val="0"/>
          <w:snapToGrid w:val="0"/>
          <w:color w:val="auto"/>
          <w:sz w:val="28"/>
          <w:szCs w:val="28"/>
          <w:u w:val="single"/>
        </w:rPr>
        <w:t>由</w:t>
      </w:r>
      <w:r>
        <w:rPr>
          <w:rFonts w:hint="eastAsia" w:ascii="宋体" w:hAnsi="宋体" w:eastAsia="宋体" w:cs="宋体"/>
          <w:b w:val="0"/>
          <w:bCs w:val="0"/>
          <w:color w:val="auto"/>
          <w:spacing w:val="4"/>
          <w:sz w:val="28"/>
          <w:szCs w:val="28"/>
          <w:u w:val="single"/>
        </w:rPr>
        <w:t>发包人审核同意后作为</w:t>
      </w:r>
      <w:r>
        <w:rPr>
          <w:rFonts w:hint="eastAsia" w:ascii="宋体" w:hAnsi="宋体" w:eastAsia="宋体" w:cs="宋体"/>
          <w:b w:val="0"/>
          <w:bCs w:val="0"/>
          <w:color w:val="auto"/>
          <w:sz w:val="28"/>
          <w:szCs w:val="28"/>
          <w:u w:val="single"/>
        </w:rPr>
        <w:t>调整依据。</w:t>
      </w:r>
    </w:p>
    <w:p w14:paraId="0D5E64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15</w:t>
      </w:r>
      <w:r>
        <w:rPr>
          <w:rFonts w:hint="eastAsia" w:ascii="宋体" w:hAnsi="宋体" w:eastAsia="宋体" w:cs="宋体"/>
          <w:b w:val="0"/>
          <w:bCs w:val="0"/>
          <w:color w:val="auto"/>
          <w:sz w:val="28"/>
          <w:szCs w:val="28"/>
        </w:rPr>
        <w:t>、工程预付款</w:t>
      </w:r>
    </w:p>
    <w:p w14:paraId="26968F7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发包人向承包人预付工程款的时间和金额或占合同价款总额的比例：</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w:t>
      </w:r>
    </w:p>
    <w:p w14:paraId="0A308A1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7456" behindDoc="0" locked="0" layoutInCell="1" allowOverlap="1">
                <wp:simplePos x="0" y="0"/>
                <wp:positionH relativeFrom="column">
                  <wp:posOffset>2815590</wp:posOffset>
                </wp:positionH>
                <wp:positionV relativeFrom="paragraph">
                  <wp:posOffset>66675</wp:posOffset>
                </wp:positionV>
                <wp:extent cx="542925" cy="97155"/>
                <wp:effectExtent l="635" t="4445" r="8890" b="12700"/>
                <wp:wrapNone/>
                <wp:docPr id="2" name="直接连接符 2"/>
                <wp:cNvGraphicFramePr/>
                <a:graphic xmlns:a="http://schemas.openxmlformats.org/drawingml/2006/main">
                  <a:graphicData uri="http://schemas.microsoft.com/office/word/2010/wordprocessingShape">
                    <wps:wsp>
                      <wps:cNvCnPr/>
                      <wps:spPr>
                        <a:xfrm flipV="1">
                          <a:off x="0" y="0"/>
                          <a:ext cx="542925" cy="971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21.7pt;margin-top:5.25pt;height:7.65pt;width:42.75pt;z-index:251667456;mso-width-relative:page;mso-height-relative:page;" filled="f" stroked="t" coordsize="21600,21600" o:gfxdata="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LtKF9cAAAAJAQAADwAAAAAAAAABACAAAAAiAAAAZHJzL2Rvd25yZXYu&#10;eG1sUEsBAhQAFAAAAAgAh07iQOVDqQL8AQAA8QMAAA4AAAAAAAAAAQAgAAAAJgEAAGRycy9lMm9E&#10;b2MueG1sUEsFBgAAAAAGAAYAWQEAAJQ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扣回工程款的时间、比例：</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w:t>
      </w:r>
    </w:p>
    <w:p w14:paraId="4A87182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16</w:t>
      </w:r>
      <w:r>
        <w:rPr>
          <w:rFonts w:hint="eastAsia" w:ascii="宋体" w:hAnsi="宋体" w:eastAsia="宋体" w:cs="宋体"/>
          <w:b w:val="0"/>
          <w:bCs w:val="0"/>
          <w:color w:val="auto"/>
          <w:sz w:val="28"/>
          <w:szCs w:val="28"/>
        </w:rPr>
        <w:t>、工程量的确认</w:t>
      </w:r>
    </w:p>
    <w:p w14:paraId="0BB2B573">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承包人向工程师提交已完工程量报告的时间：</w:t>
      </w:r>
      <w:r>
        <w:rPr>
          <w:rFonts w:hint="eastAsia" w:ascii="宋体" w:hAnsi="宋体" w:eastAsia="宋体" w:cs="宋体"/>
          <w:b w:val="0"/>
          <w:bCs w:val="0"/>
          <w:color w:val="auto"/>
          <w:sz w:val="28"/>
          <w:szCs w:val="28"/>
          <w:u w:val="single"/>
        </w:rPr>
        <w:t xml:space="preserve">   每月25日   </w:t>
      </w:r>
      <w:r>
        <w:rPr>
          <w:rFonts w:hint="eastAsia" w:ascii="宋体" w:hAnsi="宋体" w:eastAsia="宋体" w:cs="宋体"/>
          <w:b w:val="0"/>
          <w:bCs w:val="0"/>
          <w:color w:val="auto"/>
          <w:sz w:val="28"/>
          <w:szCs w:val="28"/>
        </w:rPr>
        <w:t>。</w:t>
      </w:r>
    </w:p>
    <w:p w14:paraId="3435DFF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17、工程款进度款结算与支付</w:t>
      </w:r>
    </w:p>
    <w:p w14:paraId="6F802FE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kern w:val="2"/>
          <w:sz w:val="28"/>
          <w:szCs w:val="28"/>
          <w:u w:val="single"/>
          <w:lang w:val="en-US" w:eastAsia="zh-CN" w:bidi="ar-SA"/>
        </w:rPr>
      </w:pPr>
      <w:r>
        <w:rPr>
          <w:rFonts w:hint="eastAsia" w:ascii="宋体" w:hAnsi="宋体" w:eastAsia="宋体" w:cs="宋体"/>
          <w:b w:val="0"/>
          <w:bCs w:val="0"/>
          <w:color w:val="auto"/>
          <w:sz w:val="28"/>
          <w:szCs w:val="28"/>
          <w:lang w:val="en-US" w:eastAsia="zh-CN"/>
        </w:rPr>
        <w:t>双方约定的工程款进度款支付的方式、时间和比例是：</w:t>
      </w:r>
      <w:r>
        <w:rPr>
          <w:rFonts w:hint="eastAsia" w:ascii="宋体" w:hAnsi="宋体" w:eastAsia="宋体" w:cs="宋体"/>
          <w:b w:val="0"/>
          <w:bCs w:val="0"/>
          <w:color w:val="auto"/>
          <w:kern w:val="2"/>
          <w:sz w:val="28"/>
          <w:szCs w:val="28"/>
          <w:u w:val="single"/>
          <w:lang w:val="en-US" w:eastAsia="zh-CN" w:bidi="ar-SA"/>
        </w:rPr>
        <w:t>合同签订后、施工方进场，支付合同价款10%的预付款（含安全文明施工措施费等）；完成全部工程量30%，付款20%；完成至全部工程量的60%，再付款30%；完成全部工程量并验收合格后再付款20%；完成竣工结算、备案手续后，支付剩余全部工程款。</w:t>
      </w:r>
      <w:r>
        <w:rPr>
          <w:rFonts w:hint="eastAsia" w:hAnsi="宋体" w:cs="宋体"/>
          <w:b w:val="0"/>
          <w:bCs w:val="0"/>
          <w:color w:val="auto"/>
          <w:kern w:val="2"/>
          <w:sz w:val="28"/>
          <w:szCs w:val="28"/>
          <w:u w:val="single"/>
          <w:lang w:val="en-US" w:eastAsia="zh-CN" w:bidi="ar-SA"/>
        </w:rPr>
        <w:t>。</w:t>
      </w:r>
    </w:p>
    <w:p w14:paraId="2717694D">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材料设备供应</w:t>
      </w:r>
    </w:p>
    <w:p w14:paraId="3EDDB2B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18</w:t>
      </w:r>
      <w:r>
        <w:rPr>
          <w:rFonts w:hint="eastAsia" w:ascii="宋体" w:hAnsi="宋体" w:eastAsia="宋体" w:cs="宋体"/>
          <w:b w:val="0"/>
          <w:bCs w:val="0"/>
          <w:color w:val="auto"/>
          <w:sz w:val="28"/>
          <w:szCs w:val="28"/>
        </w:rPr>
        <w:t>、 发包人供应材料设备</w:t>
      </w:r>
    </w:p>
    <w:p w14:paraId="6733C969">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 xml:space="preserve"> 本工程发包人供应材料和设备</w:t>
      </w:r>
      <w:r>
        <w:rPr>
          <w:rFonts w:hint="eastAsia" w:ascii="宋体" w:hAnsi="宋体" w:eastAsia="宋体" w:cs="宋体"/>
          <w:b w:val="0"/>
          <w:bCs w:val="0"/>
          <w:color w:val="auto"/>
          <w:sz w:val="28"/>
          <w:szCs w:val="28"/>
          <w:lang w:eastAsia="zh-CN"/>
        </w:rPr>
        <w:t>（以补充协议执行）</w:t>
      </w:r>
    </w:p>
    <w:p w14:paraId="5CF879EC">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、承包人采购材料设备</w:t>
      </w:r>
    </w:p>
    <w:p w14:paraId="3C71848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rPr>
        <w:t>承包人采购材料设备的约定：</w:t>
      </w:r>
      <w:r>
        <w:rPr>
          <w:rFonts w:hint="eastAsia" w:ascii="宋体" w:hAnsi="宋体" w:eastAsia="宋体" w:cs="宋体"/>
          <w:b w:val="0"/>
          <w:bCs w:val="0"/>
          <w:color w:val="auto"/>
          <w:sz w:val="28"/>
          <w:szCs w:val="28"/>
          <w:u w:val="single"/>
          <w:lang w:val="en-US" w:eastAsia="zh-CN"/>
        </w:rPr>
        <w:t xml:space="preserve">                                               </w:t>
      </w:r>
    </w:p>
    <w:p w14:paraId="0D78CC60">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工程变更</w:t>
      </w:r>
    </w:p>
    <w:p w14:paraId="24A927AC">
      <w:pPr>
        <w:pStyle w:val="3"/>
        <w:pageBreakBefore w:val="0"/>
        <w:kinsoku/>
        <w:wordWrap/>
        <w:overflowPunct/>
        <w:topLinePunct w:val="0"/>
        <w:bidi w:val="0"/>
        <w:adjustRightInd w:val="0"/>
        <w:snapToGrid w:val="0"/>
        <w:spacing w:line="440" w:lineRule="exact"/>
        <w:ind w:right="-7" w:rightChars="-3" w:firstLine="686" w:firstLineChars="24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20</w:t>
      </w:r>
      <w:r>
        <w:rPr>
          <w:rFonts w:hint="eastAsia" w:ascii="宋体" w:hAnsi="宋体" w:eastAsia="宋体" w:cs="宋体"/>
          <w:b w:val="0"/>
          <w:bCs w:val="0"/>
          <w:color w:val="auto"/>
          <w:sz w:val="28"/>
          <w:szCs w:val="28"/>
        </w:rPr>
        <w:t>、工程变更及签证</w:t>
      </w:r>
    </w:p>
    <w:p w14:paraId="5A55B3F2">
      <w:pPr>
        <w:pStyle w:val="3"/>
        <w:pageBreakBefore w:val="0"/>
        <w:kinsoku/>
        <w:wordWrap/>
        <w:overflowPunct/>
        <w:topLinePunct w:val="0"/>
        <w:bidi w:val="0"/>
        <w:adjustRightInd w:val="0"/>
        <w:snapToGrid w:val="0"/>
        <w:spacing w:line="440" w:lineRule="exact"/>
        <w:ind w:right="-7" w:rightChars="-3" w:firstLine="72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pacing w:val="4"/>
          <w:sz w:val="28"/>
          <w:szCs w:val="28"/>
        </w:rPr>
        <w:t xml:space="preserve"> 由于图纸或现场其他原因需要变更的，发包人根据施工的实际需要经设计部门对图纸做出变更；发生图纸变更以及合同约定以外的工程量时，</w:t>
      </w:r>
      <w:r>
        <w:rPr>
          <w:rFonts w:hint="eastAsia" w:ascii="宋体" w:hAnsi="宋体" w:eastAsia="宋体" w:cs="宋体"/>
          <w:b w:val="0"/>
          <w:bCs w:val="0"/>
          <w:color w:val="auto"/>
          <w:sz w:val="28"/>
          <w:szCs w:val="28"/>
        </w:rPr>
        <w:t>承包人</w:t>
      </w:r>
      <w:r>
        <w:rPr>
          <w:rFonts w:hint="eastAsia" w:ascii="宋体" w:hAnsi="宋体" w:eastAsia="宋体" w:cs="宋体"/>
          <w:b w:val="0"/>
          <w:bCs w:val="0"/>
          <w:color w:val="auto"/>
          <w:spacing w:val="4"/>
          <w:sz w:val="28"/>
          <w:szCs w:val="28"/>
        </w:rPr>
        <w:t>及时办理签证，经监理审核再由发包人批准后作为结算的依据，计价原则同27.1款。</w:t>
      </w:r>
    </w:p>
    <w:p w14:paraId="27F88249">
      <w:pPr>
        <w:pStyle w:val="3"/>
        <w:pageBreakBefore w:val="0"/>
        <w:numPr>
          <w:ilvl w:val="0"/>
          <w:numId w:val="4"/>
        </w:numPr>
        <w:tabs>
          <w:tab w:val="left" w:pos="126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竣工验收与结算</w:t>
      </w:r>
    </w:p>
    <w:p w14:paraId="2841035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、竣工验收</w:t>
      </w:r>
    </w:p>
    <w:p w14:paraId="22EA4720">
      <w:pPr>
        <w:pStyle w:val="3"/>
        <w:pageBreakBefore w:val="0"/>
        <w:kinsoku/>
        <w:wordWrap/>
        <w:overflowPunct/>
        <w:topLinePunct w:val="0"/>
        <w:bidi w:val="0"/>
        <w:adjustRightInd w:val="0"/>
        <w:snapToGrid w:val="0"/>
        <w:spacing w:line="440" w:lineRule="exact"/>
        <w:ind w:right="-7" w:rightChars="-3" w:firstLine="598" w:firstLineChars="217"/>
        <w:textAlignment w:val="auto"/>
        <w:rPr>
          <w:rFonts w:hint="eastAsia" w:ascii="宋体" w:hAnsi="宋体" w:eastAsia="宋体" w:cs="宋体"/>
          <w:b w:val="0"/>
          <w:bCs w:val="0"/>
          <w:color w:val="auto"/>
          <w:spacing w:val="-2"/>
          <w:sz w:val="28"/>
          <w:szCs w:val="28"/>
        </w:rPr>
      </w:pPr>
      <w:r>
        <w:rPr>
          <w:rFonts w:hint="eastAsia" w:ascii="宋体" w:hAnsi="宋体" w:eastAsia="宋体" w:cs="宋体"/>
          <w:b w:val="0"/>
          <w:bCs w:val="0"/>
          <w:color w:val="auto"/>
          <w:spacing w:val="-2"/>
          <w:sz w:val="28"/>
          <w:szCs w:val="28"/>
          <w:lang w:val="en-US" w:eastAsia="zh-CN"/>
        </w:rPr>
        <w:t>21</w:t>
      </w:r>
      <w:r>
        <w:rPr>
          <w:rFonts w:hint="eastAsia" w:ascii="宋体" w:hAnsi="宋体" w:eastAsia="宋体" w:cs="宋体"/>
          <w:b w:val="0"/>
          <w:bCs w:val="0"/>
          <w:color w:val="auto"/>
          <w:spacing w:val="-2"/>
          <w:sz w:val="28"/>
          <w:szCs w:val="28"/>
        </w:rPr>
        <w:t>.1承包人提供竣工图的约定：</w:t>
      </w:r>
      <w:r>
        <w:rPr>
          <w:rFonts w:hint="eastAsia" w:ascii="宋体" w:hAnsi="宋体" w:eastAsia="宋体" w:cs="宋体"/>
          <w:b w:val="0"/>
          <w:bCs w:val="0"/>
          <w:color w:val="auto"/>
          <w:sz w:val="28"/>
          <w:szCs w:val="28"/>
          <w:u w:val="single"/>
        </w:rPr>
        <w:t>竣工验收后一个月内</w:t>
      </w:r>
      <w:r>
        <w:rPr>
          <w:rFonts w:hint="eastAsia" w:ascii="宋体" w:hAnsi="宋体" w:eastAsia="宋体" w:cs="宋体"/>
          <w:b w:val="0"/>
          <w:bCs w:val="0"/>
          <w:color w:val="auto"/>
          <w:spacing w:val="-2"/>
          <w:sz w:val="28"/>
          <w:szCs w:val="28"/>
          <w:u w:val="single"/>
        </w:rPr>
        <w:t xml:space="preserve">，交竣工图及资料文件三套；两套交建设单位，一套按城建部门的要求交城建档案馆，不另计取费用 。 </w:t>
      </w:r>
    </w:p>
    <w:p w14:paraId="0F30324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lang w:val="en-US"/>
        </w:rPr>
        <mc:AlternateContent>
          <mc:Choice Requires="wps">
            <w:drawing>
              <wp:anchor distT="0" distB="0" distL="114300" distR="114300" simplePos="0" relativeHeight="251668480" behindDoc="0" locked="0" layoutInCell="1" allowOverlap="1">
                <wp:simplePos x="0" y="0"/>
                <wp:positionH relativeFrom="column">
                  <wp:posOffset>3811270</wp:posOffset>
                </wp:positionH>
                <wp:positionV relativeFrom="paragraph">
                  <wp:posOffset>42545</wp:posOffset>
                </wp:positionV>
                <wp:extent cx="619125" cy="101600"/>
                <wp:effectExtent l="635" t="4445" r="8890" b="8255"/>
                <wp:wrapNone/>
                <wp:docPr id="3" name="直接连接符 3"/>
                <wp:cNvGraphicFramePr/>
                <a:graphic xmlns:a="http://schemas.openxmlformats.org/drawingml/2006/main">
                  <a:graphicData uri="http://schemas.microsoft.com/office/word/2010/wordprocessingShape">
                    <wps:wsp>
                      <wps:cNvCnPr/>
                      <wps:spPr>
                        <a:xfrm flipV="1">
                          <a:off x="0" y="0"/>
                          <a:ext cx="619125" cy="101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0.1pt;margin-top:3.35pt;height:8pt;width:48.75pt;z-index:251668480;mso-width-relative:page;mso-height-relative:page;" filled="f" stroked="t" coordsize="21600,21600" o:gfxdata="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Unt+L1QAAAAgBAAAPAAAAAAAAAAEAIAAAACIAAABkcnMvZG93bnJl&#10;di54bWxQSwECFAAUAAAACACHTuJAHa0ZxQACAADyAwAADgAAAAAAAAABACAAAAAk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lang w:val="en-US" w:eastAsia="zh-CN"/>
        </w:rPr>
        <w:t>21</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rPr>
        <w:t xml:space="preserve"> 中间交工工程的范围和竣工时间：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76DFCE5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．竣工结算</w:t>
      </w:r>
    </w:p>
    <w:p w14:paraId="0F6AC56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.1竣工结算及付款的条件：</w:t>
      </w:r>
    </w:p>
    <w:p w14:paraId="1FB5B0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(1)完成全部合同规定的工程（工作）内容；</w:t>
      </w:r>
    </w:p>
    <w:p w14:paraId="2381488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(2)拆除、撤出全部临时设施及施工垃圾外运；</w:t>
      </w:r>
    </w:p>
    <w:p w14:paraId="3EF97A73">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(3)工程通过竣工验收；</w:t>
      </w:r>
    </w:p>
    <w:p w14:paraId="777A047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(4)工程完全移交；</w:t>
      </w:r>
    </w:p>
    <w:p w14:paraId="7E727300">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(5)工程竣工资料完整移交；</w:t>
      </w:r>
    </w:p>
    <w:p w14:paraId="6A82C85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(6)提供工程质量保修书；</w:t>
      </w:r>
    </w:p>
    <w:p w14:paraId="26AA958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(7)工程结算资料完成。</w:t>
      </w:r>
    </w:p>
    <w:p w14:paraId="1D52206C">
      <w:pPr>
        <w:pStyle w:val="3"/>
        <w:pageBreakBefore w:val="0"/>
        <w:kinsoku/>
        <w:wordWrap/>
        <w:overflowPunct/>
        <w:topLinePunct w:val="0"/>
        <w:bidi w:val="0"/>
        <w:adjustRightInd w:val="0"/>
        <w:snapToGrid w:val="0"/>
        <w:spacing w:line="440" w:lineRule="exact"/>
        <w:ind w:right="-7" w:rightChars="-3" w:firstLine="70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rPr>
        <w:t>.2以中标价作为合同价签订的承包合同为依据进行结算。</w:t>
      </w:r>
    </w:p>
    <w:p w14:paraId="2ED0C5D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施工中若出现清单中未列项的零星工程发生时，工程量以实际签证为准，参照33款办理。</w:t>
      </w:r>
    </w:p>
    <w:p w14:paraId="58E19FE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工程竣工验收后，竣工结算经招标人委托审计机构在2个月内提出审计意见，除预留工程造价的</w:t>
      </w: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rPr>
        <w:t>作为工程质保金外，其余款项一次结算。</w:t>
      </w:r>
    </w:p>
    <w:p w14:paraId="0BD4F163">
      <w:pPr>
        <w:pStyle w:val="3"/>
        <w:pageBreakBefore w:val="0"/>
        <w:numPr>
          <w:ilvl w:val="0"/>
          <w:numId w:val="4"/>
        </w:numPr>
        <w:tabs>
          <w:tab w:val="left" w:pos="1080"/>
          <w:tab w:val="left" w:pos="144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违约、索赔和争议</w:t>
      </w:r>
    </w:p>
    <w:p w14:paraId="0245BF5C">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、违约</w:t>
      </w:r>
    </w:p>
    <w:p w14:paraId="588960B3">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.1本合同中关于发包人违约的具体责任如下：</w:t>
      </w:r>
    </w:p>
    <w:p w14:paraId="67BF8863">
      <w:pPr>
        <w:pStyle w:val="3"/>
        <w:pageBreakBefore w:val="0"/>
        <w:tabs>
          <w:tab w:val="left" w:pos="905"/>
        </w:tabs>
        <w:kinsoku/>
        <w:wordWrap/>
        <w:overflowPunct/>
        <w:topLinePunct w:val="0"/>
        <w:bidi w:val="0"/>
        <w:adjustRightInd w:val="0"/>
        <w:snapToGrid w:val="0"/>
        <w:spacing w:line="440" w:lineRule="exact"/>
        <w:ind w:left="547" w:leftChars="228" w:right="-7" w:rightChars="-3" w:firstLine="47" w:firstLineChars="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u w:val="single"/>
        </w:rPr>
        <w:t xml:space="preserve"> 延期付款按</w:t>
      </w:r>
      <w:r>
        <w:rPr>
          <w:rFonts w:hint="eastAsia" w:hAnsi="宋体" w:cs="宋体"/>
          <w:b w:val="0"/>
          <w:bCs w:val="0"/>
          <w:color w:val="000000" w:themeColor="text1"/>
          <w:sz w:val="28"/>
          <w:szCs w:val="28"/>
          <w:u w:val="single"/>
          <w:lang w:val="en-US" w:eastAsia="zh-CN"/>
          <w14:textFill>
            <w14:solidFill>
              <w14:schemeClr w14:val="tx1"/>
            </w14:solidFill>
          </w14:textFill>
        </w:rPr>
        <w:t>同期全国银行间同业拆借贷款利率</w:t>
      </w:r>
      <w:r>
        <w:rPr>
          <w:rFonts w:hint="eastAsia" w:ascii="宋体" w:hAnsi="宋体" w:eastAsia="宋体" w:cs="宋体"/>
          <w:b w:val="0"/>
          <w:bCs w:val="0"/>
          <w:color w:val="auto"/>
          <w:sz w:val="28"/>
          <w:szCs w:val="28"/>
          <w:u w:val="single"/>
        </w:rPr>
        <w:t>。</w:t>
      </w:r>
    </w:p>
    <w:p w14:paraId="43CE47ED">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本合同通用条款约定发包人违约应承担的违约责任：</w:t>
      </w:r>
    </w:p>
    <w:p w14:paraId="795F7848">
      <w:pPr>
        <w:pStyle w:val="3"/>
        <w:pageBreakBefore w:val="0"/>
        <w:tabs>
          <w:tab w:val="left" w:pos="905"/>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本合同通用条款约定发包人违约应承担的违约责任：</w:t>
      </w:r>
    </w:p>
    <w:p w14:paraId="0E7F4BFF">
      <w:pPr>
        <w:pStyle w:val="3"/>
        <w:pageBreakBefore w:val="0"/>
        <w:tabs>
          <w:tab w:val="left" w:pos="905"/>
        </w:tabs>
        <w:kinsoku/>
        <w:wordWrap/>
        <w:overflowPunct/>
        <w:topLinePunct w:val="0"/>
        <w:bidi w:val="0"/>
        <w:adjustRightInd w:val="0"/>
        <w:snapToGrid w:val="0"/>
        <w:spacing w:line="440" w:lineRule="exact"/>
        <w:ind w:right="-7" w:rightChars="-3" w:firstLine="887" w:firstLineChars="3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双方约定的发包人其他违约责任：</w:t>
      </w:r>
      <w:r>
        <w:rPr>
          <w:rFonts w:hint="eastAsia" w:ascii="宋体" w:hAnsi="宋体" w:eastAsia="宋体" w:cs="宋体"/>
          <w:b w:val="0"/>
          <w:bCs w:val="0"/>
          <w:color w:val="auto"/>
          <w:sz w:val="28"/>
          <w:szCs w:val="28"/>
          <w:u w:val="single"/>
        </w:rPr>
        <w:t xml:space="preserve">  另外协商解决  </w:t>
      </w:r>
    </w:p>
    <w:p w14:paraId="4598F20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23</w:t>
      </w:r>
      <w:r>
        <w:rPr>
          <w:rFonts w:hint="eastAsia" w:ascii="宋体" w:hAnsi="宋体" w:eastAsia="宋体" w:cs="宋体"/>
          <w:b w:val="0"/>
          <w:bCs w:val="0"/>
          <w:color w:val="auto"/>
          <w:sz w:val="28"/>
          <w:szCs w:val="28"/>
        </w:rPr>
        <w:t>.2本合同中关于承包人违约的具体责任如下：</w:t>
      </w:r>
    </w:p>
    <w:p w14:paraId="0041F6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lang w:eastAsia="zh-CN"/>
        </w:rPr>
      </w:pPr>
      <w:r>
        <w:rPr>
          <w:rFonts w:hint="eastAsia" w:ascii="宋体" w:hAnsi="宋体" w:eastAsia="宋体" w:cs="宋体"/>
          <w:b w:val="0"/>
          <w:bCs w:val="0"/>
          <w:color w:val="auto"/>
          <w:sz w:val="28"/>
          <w:szCs w:val="28"/>
        </w:rPr>
        <w:t>本合同通用条款约定承包人违约应承担的违约责任：</w:t>
      </w:r>
      <w:r>
        <w:rPr>
          <w:rFonts w:hint="eastAsia" w:ascii="宋体" w:hAnsi="宋体" w:eastAsia="宋体" w:cs="宋体"/>
          <w:b w:val="0"/>
          <w:bCs w:val="0"/>
          <w:color w:val="auto"/>
          <w:sz w:val="28"/>
          <w:szCs w:val="28"/>
          <w:u w:val="single"/>
        </w:rPr>
        <w:t>工期每推迟一天（或提前一天）按合同价的万分之零点五支付违约金（或奖励）。</w:t>
      </w:r>
    </w:p>
    <w:p w14:paraId="0B7EDFA5">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本合同通用条款约定承包人违约应承担的违约责任： </w:t>
      </w:r>
      <w:r>
        <w:rPr>
          <w:rFonts w:hint="eastAsia" w:ascii="宋体" w:hAnsi="宋体" w:eastAsia="宋体" w:cs="宋体"/>
          <w:b w:val="0"/>
          <w:bCs w:val="0"/>
          <w:color w:val="auto"/>
          <w:sz w:val="28"/>
          <w:szCs w:val="28"/>
          <w:u w:val="single"/>
        </w:rPr>
        <w:t>承包人承担因工程质量达不到技术规范规定的质量标准所造成的检测、返工、加固等所有补救措施的全部费用。当质量问题严重或承包人拒绝尽快采取弥补质量缺陷措施时，承包人承担发包人因此终止合同更换施工单位的全部</w:t>
      </w:r>
      <w:r>
        <w:rPr>
          <w:rFonts w:hint="eastAsia" w:hAnsi="宋体" w:cs="宋体"/>
          <w:b w:val="0"/>
          <w:bCs w:val="0"/>
          <w:color w:val="auto"/>
          <w:sz w:val="28"/>
          <w:szCs w:val="28"/>
          <w:u w:val="single"/>
          <w:lang w:val="en-US" w:eastAsia="zh-CN"/>
        </w:rPr>
        <w:t>损失</w:t>
      </w:r>
      <w:r>
        <w:rPr>
          <w:rFonts w:hint="eastAsia" w:ascii="宋体" w:hAnsi="宋体" w:eastAsia="宋体" w:cs="宋体"/>
          <w:b w:val="0"/>
          <w:bCs w:val="0"/>
          <w:color w:val="auto"/>
          <w:sz w:val="28"/>
          <w:szCs w:val="28"/>
          <w:u w:val="single"/>
        </w:rPr>
        <w:t>，</w:t>
      </w:r>
      <w:r>
        <w:rPr>
          <w:rFonts w:hint="eastAsia" w:hAnsi="宋体" w:cs="宋体"/>
          <w:b w:val="0"/>
          <w:bCs w:val="0"/>
          <w:color w:val="auto"/>
          <w:sz w:val="28"/>
          <w:szCs w:val="28"/>
          <w:u w:val="single"/>
          <w:lang w:val="en-US" w:eastAsia="zh-CN"/>
        </w:rPr>
        <w:t>并</w:t>
      </w:r>
      <w:r>
        <w:rPr>
          <w:rFonts w:hint="eastAsia" w:ascii="宋体" w:hAnsi="宋体" w:eastAsia="宋体" w:cs="宋体"/>
          <w:b w:val="0"/>
          <w:bCs w:val="0"/>
          <w:color w:val="auto"/>
          <w:sz w:val="28"/>
          <w:szCs w:val="28"/>
          <w:u w:val="single"/>
        </w:rPr>
        <w:t>承担因此产生的发包人费用，并按总额不超过承包合同价的</w:t>
      </w:r>
      <w:r>
        <w:rPr>
          <w:rFonts w:hint="eastAsia" w:hAnsi="宋体" w:eastAsia="宋体" w:cs="宋体"/>
          <w:b w:val="0"/>
          <w:bCs w:val="0"/>
          <w:color w:val="auto"/>
          <w:sz w:val="28"/>
          <w:szCs w:val="28"/>
          <w:u w:val="single"/>
          <w:lang w:val="en-US" w:eastAsia="zh-CN"/>
        </w:rPr>
        <w:t>10</w:t>
      </w:r>
      <w:r>
        <w:rPr>
          <w:rFonts w:hint="eastAsia" w:ascii="宋体" w:hAnsi="宋体" w:eastAsia="宋体" w:cs="宋体"/>
          <w:b w:val="0"/>
          <w:bCs w:val="0"/>
          <w:color w:val="auto"/>
          <w:sz w:val="28"/>
          <w:szCs w:val="28"/>
          <w:u w:val="single"/>
        </w:rPr>
        <w:t>%支付质量违约金。还按国务院279号令有关规定处理。</w:t>
      </w:r>
    </w:p>
    <w:p w14:paraId="7A964EC9">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mc:AlternateContent>
          <mc:Choice Requires="wps">
            <w:drawing>
              <wp:anchor distT="0" distB="0" distL="114300" distR="114300" simplePos="0" relativeHeight="251669504" behindDoc="0" locked="0" layoutInCell="1" allowOverlap="1">
                <wp:simplePos x="0" y="0"/>
                <wp:positionH relativeFrom="column">
                  <wp:posOffset>3420110</wp:posOffset>
                </wp:positionH>
                <wp:positionV relativeFrom="paragraph">
                  <wp:posOffset>20320</wp:posOffset>
                </wp:positionV>
                <wp:extent cx="723900" cy="133350"/>
                <wp:effectExtent l="635" t="4445" r="18415" b="14605"/>
                <wp:wrapNone/>
                <wp:docPr id="11" name="直接连接符 11"/>
                <wp:cNvGraphicFramePr/>
                <a:graphic xmlns:a="http://schemas.openxmlformats.org/drawingml/2006/main">
                  <a:graphicData uri="http://schemas.microsoft.com/office/word/2010/wordprocessingShape">
                    <wps:wsp>
                      <wps:cNvCnPr/>
                      <wps:spPr>
                        <a:xfrm flipV="1">
                          <a:off x="0" y="0"/>
                          <a:ext cx="723900" cy="133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9.3pt;margin-top:1.6pt;height:10.5pt;width:57pt;z-index:251669504;mso-width-relative:page;mso-height-relative:page;" filled="f" stroked="t" coordsize="21600,21600" o:gfxdata="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48NhDWAAAACAEAAA8AAAAAAAAAAQAgAAAAIgAAAGRycy9kb3du&#10;cmV2LnhtbFBLAQIUABQAAAAIAIdO4kDty4EsAQIAAPQDAAAOAAAAAAAAAAEAIAAAACU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8"/>
          <w:szCs w:val="28"/>
        </w:rPr>
        <w:t>双方约定的承包人其他违约责任：</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w:t>
      </w:r>
    </w:p>
    <w:p w14:paraId="39AEBA31">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、争议</w:t>
      </w:r>
    </w:p>
    <w:p w14:paraId="1A7102B6">
      <w:pPr>
        <w:pStyle w:val="3"/>
        <w:pageBreakBefore w:val="0"/>
        <w:tabs>
          <w:tab w:val="left" w:pos="2730"/>
        </w:tabs>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rPr>
        <w:t>.1双方当事人约定，在履行合同过程中产生争议时：</w:t>
      </w:r>
    </w:p>
    <w:p w14:paraId="54BEC069">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双方当事人友好协商；</w:t>
      </w:r>
    </w:p>
    <w:p w14:paraId="7BD013D9">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请</w:t>
      </w:r>
      <w:r>
        <w:rPr>
          <w:rFonts w:hint="eastAsia" w:ascii="宋体" w:hAnsi="宋体" w:eastAsia="宋体" w:cs="宋体"/>
          <w:b w:val="0"/>
          <w:bCs w:val="0"/>
          <w:color w:val="auto"/>
          <w:sz w:val="28"/>
          <w:szCs w:val="28"/>
          <w:u w:val="single"/>
        </w:rPr>
        <w:t>合同主管部门和造价主管部门</w:t>
      </w:r>
      <w:r>
        <w:rPr>
          <w:rFonts w:hint="eastAsia" w:ascii="宋体" w:hAnsi="宋体" w:eastAsia="宋体" w:cs="宋体"/>
          <w:b w:val="0"/>
          <w:bCs w:val="0"/>
          <w:color w:val="auto"/>
          <w:sz w:val="28"/>
          <w:szCs w:val="28"/>
        </w:rPr>
        <w:t>调解；</w:t>
      </w:r>
    </w:p>
    <w:p w14:paraId="357E90E0">
      <w:pPr>
        <w:pStyle w:val="3"/>
        <w:pageBreakBefore w:val="0"/>
        <w:numPr>
          <w:ilvl w:val="1"/>
          <w:numId w:val="8"/>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合同争议调解不成的，按下列第</w:t>
      </w:r>
      <w:r>
        <w:rPr>
          <w:rFonts w:hint="eastAsia" w:ascii="宋体" w:hAnsi="宋体" w:eastAsia="宋体" w:cs="宋体"/>
          <w:b w:val="0"/>
          <w:bCs w:val="0"/>
          <w:color w:val="auto"/>
          <w:sz w:val="28"/>
          <w:szCs w:val="28"/>
          <w:u w:val="single"/>
        </w:rPr>
        <w:t xml:space="preserve">   1   </w:t>
      </w:r>
      <w:r>
        <w:rPr>
          <w:rFonts w:hint="eastAsia" w:ascii="宋体" w:hAnsi="宋体" w:eastAsia="宋体" w:cs="宋体"/>
          <w:b w:val="0"/>
          <w:bCs w:val="0"/>
          <w:color w:val="auto"/>
          <w:sz w:val="28"/>
          <w:szCs w:val="28"/>
        </w:rPr>
        <w:t>种方式解决：</w:t>
      </w:r>
    </w:p>
    <w:p w14:paraId="1AD51D56">
      <w:pPr>
        <w:pStyle w:val="3"/>
        <w:pageBreakBefore w:val="0"/>
        <w:numPr>
          <w:ilvl w:val="0"/>
          <w:numId w:val="9"/>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提交</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项目所在地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仲裁委员会申请仲裁；</w:t>
      </w:r>
    </w:p>
    <w:p w14:paraId="0810377D">
      <w:pPr>
        <w:pStyle w:val="3"/>
        <w:pageBreakBefore w:val="0"/>
        <w:numPr>
          <w:ilvl w:val="0"/>
          <w:numId w:val="9"/>
        </w:numPr>
        <w:kinsoku/>
        <w:wordWrap/>
        <w:overflowPunct/>
        <w:topLinePunct w:val="0"/>
        <w:bidi w:val="0"/>
        <w:adjustRightInd w:val="0"/>
        <w:snapToGrid w:val="0"/>
        <w:spacing w:line="440" w:lineRule="exact"/>
        <w:ind w:left="0"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依法向</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人民法院提起诉讼。</w:t>
      </w:r>
    </w:p>
    <w:p w14:paraId="571BE6EE">
      <w:pPr>
        <w:pStyle w:val="3"/>
        <w:pageBreakBefore w:val="0"/>
        <w:numPr>
          <w:ilvl w:val="0"/>
          <w:numId w:val="4"/>
        </w:numPr>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其它</w:t>
      </w:r>
    </w:p>
    <w:p w14:paraId="524E302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25</w:t>
      </w:r>
      <w:r>
        <w:rPr>
          <w:rFonts w:hint="eastAsia" w:ascii="宋体" w:hAnsi="宋体" w:eastAsia="宋体" w:cs="宋体"/>
          <w:b w:val="0"/>
          <w:bCs w:val="0"/>
          <w:color w:val="000000" w:themeColor="text1"/>
          <w:sz w:val="28"/>
          <w:szCs w:val="28"/>
          <w14:textFill>
            <w14:solidFill>
              <w14:schemeClr w14:val="tx1"/>
            </w14:solidFill>
          </w14:textFill>
        </w:rPr>
        <w:t>、工程分包</w:t>
      </w:r>
    </w:p>
    <w:p w14:paraId="7B0BEA09">
      <w:pPr>
        <w:widowControl/>
        <w:tabs>
          <w:tab w:val="left" w:pos="525"/>
        </w:tabs>
        <w:spacing w:line="420" w:lineRule="exact"/>
        <w:ind w:firstLine="560" w:firstLineChars="200"/>
        <w:rPr>
          <w:rFonts w:hint="eastAsia" w:ascii="宋体" w:hAnsi="宋体" w:eastAsia="宋体" w:cs="宋体"/>
          <w:b w:val="0"/>
          <w:bCs w:val="0"/>
          <w:color w:val="000000" w:themeColor="text1"/>
          <w:spacing w:val="8"/>
          <w:sz w:val="28"/>
          <w:szCs w:val="28"/>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本工程发包人同意承包人分包的专业工程：</w:t>
      </w:r>
      <w:r>
        <w:rPr>
          <w:rFonts w:hint="eastAsia" w:ascii="宋体" w:cs="宋体"/>
          <w:b w:val="0"/>
          <w:bCs w:val="0"/>
          <w:color w:val="000000" w:themeColor="text1"/>
          <w:sz w:val="28"/>
          <w:szCs w:val="28"/>
          <w:u w:val="single"/>
          <w:lang w:val="zh-CN"/>
          <w14:textFill>
            <w14:solidFill>
              <w14:schemeClr w14:val="tx1"/>
            </w14:solidFill>
          </w14:textFill>
        </w:rPr>
        <w:t>本工程未经发包人同意不允许分包</w:t>
      </w:r>
      <w:r>
        <w:rPr>
          <w:rFonts w:hint="eastAsia" w:ascii="宋体" w:hAnsi="宋体" w:eastAsia="宋体" w:cs="宋体"/>
          <w:b w:val="0"/>
          <w:bCs w:val="0"/>
          <w:color w:val="000000" w:themeColor="text1"/>
          <w:spacing w:val="8"/>
          <w:sz w:val="28"/>
          <w:szCs w:val="28"/>
          <w:u w:val="single"/>
          <w14:textFill>
            <w14:solidFill>
              <w14:schemeClr w14:val="tx1"/>
            </w14:solidFill>
          </w14:textFill>
        </w:rPr>
        <w:t>。</w:t>
      </w:r>
    </w:p>
    <w:p w14:paraId="1F8352EA">
      <w:pPr>
        <w:pStyle w:val="3"/>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FF0000"/>
          <w:sz w:val="28"/>
          <w:szCs w:val="28"/>
        </w:rPr>
      </w:pPr>
      <w:r>
        <w:rPr>
          <w:rFonts w:hint="eastAsia" w:ascii="宋体" w:hAnsi="宋体" w:eastAsia="宋体" w:cs="宋体"/>
          <w:b w:val="0"/>
          <w:bCs w:val="0"/>
          <w:color w:val="000000" w:themeColor="text1"/>
          <w:spacing w:val="8"/>
          <w:sz w:val="28"/>
          <w:szCs w:val="28"/>
          <w14:textFill>
            <w14:solidFill>
              <w14:schemeClr w14:val="tx1"/>
            </w14:solidFill>
          </w14:textFill>
        </w:rPr>
        <w:t>分包施工单位为：</w:t>
      </w:r>
      <w:r>
        <w:rPr>
          <w:rFonts w:hint="eastAsia" w:ascii="宋体" w:hAnsi="宋体" w:eastAsia="宋体" w:cs="宋体"/>
          <w:b w:val="0"/>
          <w:bCs w:val="0"/>
          <w:color w:val="000000" w:themeColor="text1"/>
          <w:spacing w:val="8"/>
          <w:sz w:val="28"/>
          <w:szCs w:val="28"/>
          <w:u w:val="single"/>
          <w14:textFill>
            <w14:solidFill>
              <w14:schemeClr w14:val="tx1"/>
            </w14:solidFill>
          </w14:textFill>
        </w:rPr>
        <w:t xml:space="preserve">    </w:t>
      </w:r>
      <w:r>
        <w:rPr>
          <w:rFonts w:hint="eastAsia" w:ascii="宋体" w:hAnsi="宋体" w:eastAsia="宋体" w:cs="宋体"/>
          <w:b w:val="0"/>
          <w:bCs w:val="0"/>
          <w:color w:val="000000" w:themeColor="text1"/>
          <w:sz w:val="28"/>
          <w:szCs w:val="28"/>
          <w:u w:val="single"/>
          <w14:textFill>
            <w14:solidFill>
              <w14:schemeClr w14:val="tx1"/>
            </w14:solidFill>
          </w14:textFill>
        </w:rPr>
        <w:t xml:space="preserve">  </w:t>
      </w:r>
      <w:r>
        <w:rPr>
          <w:rFonts w:hint="eastAsia" w:hAnsi="宋体" w:cs="宋体"/>
          <w:b w:val="0"/>
          <w:bCs w:val="0"/>
          <w:color w:val="000000" w:themeColor="text1"/>
          <w:sz w:val="28"/>
          <w:szCs w:val="28"/>
          <w:u w:val="single"/>
          <w:lang w:val="en-US" w:eastAsia="zh-CN"/>
          <w14:textFill>
            <w14:solidFill>
              <w14:schemeClr w14:val="tx1"/>
            </w14:solidFill>
          </w14:textFill>
        </w:rPr>
        <w:t>无</w:t>
      </w:r>
      <w:r>
        <w:rPr>
          <w:rFonts w:hint="eastAsia" w:ascii="宋体" w:hAnsi="宋体" w:eastAsia="宋体" w:cs="宋体"/>
          <w:b w:val="0"/>
          <w:bCs w:val="0"/>
          <w:color w:val="000000" w:themeColor="text1"/>
          <w:sz w:val="28"/>
          <w:szCs w:val="28"/>
          <w:u w:val="single"/>
          <w14:textFill>
            <w14:solidFill>
              <w14:schemeClr w14:val="tx1"/>
            </w14:solidFill>
          </w14:textFill>
        </w:rPr>
        <w:t xml:space="preserve">     </w:t>
      </w:r>
      <w:r>
        <w:rPr>
          <w:rFonts w:hint="eastAsia" w:ascii="宋体" w:hAnsi="宋体" w:eastAsia="宋体" w:cs="宋体"/>
          <w:b w:val="0"/>
          <w:bCs w:val="0"/>
          <w:color w:val="auto"/>
          <w:sz w:val="28"/>
          <w:szCs w:val="28"/>
        </w:rPr>
        <w:t>。</w:t>
      </w:r>
    </w:p>
    <w:p w14:paraId="2D0F48CB">
      <w:pPr>
        <w:pStyle w:val="3"/>
        <w:pageBreakBefore w:val="0"/>
        <w:kinsoku/>
        <w:wordWrap/>
        <w:overflowPunct/>
        <w:topLinePunct w:val="0"/>
        <w:bidi w:val="0"/>
        <w:adjustRightInd w:val="0"/>
        <w:snapToGrid w:val="0"/>
        <w:spacing w:line="440" w:lineRule="exact"/>
        <w:ind w:right="-7" w:rightChars="-3" w:firstLine="686" w:firstLineChars="245"/>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26</w:t>
      </w:r>
      <w:r>
        <w:rPr>
          <w:rFonts w:hint="eastAsia" w:ascii="宋体" w:hAnsi="宋体" w:eastAsia="宋体" w:cs="宋体"/>
          <w:b w:val="0"/>
          <w:bCs w:val="0"/>
          <w:color w:val="auto"/>
          <w:sz w:val="28"/>
          <w:szCs w:val="28"/>
        </w:rPr>
        <w:t>、 不可抗力</w:t>
      </w:r>
    </w:p>
    <w:p w14:paraId="7D98C265">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双方关于不可抗力的约定：</w:t>
      </w:r>
      <w:r>
        <w:rPr>
          <w:rFonts w:hint="eastAsia" w:ascii="宋体" w:hAnsi="宋体" w:eastAsia="宋体" w:cs="宋体"/>
          <w:b w:val="0"/>
          <w:bCs w:val="0"/>
          <w:color w:val="auto"/>
          <w:sz w:val="28"/>
          <w:szCs w:val="28"/>
          <w:u w:val="single"/>
        </w:rPr>
        <w:t>六级以上大风连续8小时；暴雨灾害及雪灾的量以政府及相关部门规定为准；特大洪水；工程场地50km范围内发生五级以上地震；战争、动乱、空气中飞行物体坠落或其它非发包人、承包人责任造成的爆炸、火灾等。</w:t>
      </w:r>
    </w:p>
    <w:p w14:paraId="4422E4EF">
      <w:pPr>
        <w:pStyle w:val="3"/>
        <w:pageBreakBefore w:val="0"/>
        <w:kinsoku/>
        <w:wordWrap/>
        <w:overflowPunct/>
        <w:topLinePunct w:val="0"/>
        <w:bidi w:val="0"/>
        <w:adjustRightInd w:val="0"/>
        <w:snapToGrid w:val="0"/>
        <w:spacing w:line="440" w:lineRule="exact"/>
        <w:ind w:right="-7" w:rightChars="-3" w:firstLine="411" w:firstLineChars="14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27</w:t>
      </w:r>
      <w:r>
        <w:rPr>
          <w:rFonts w:hint="eastAsia" w:ascii="宋体" w:hAnsi="宋体" w:eastAsia="宋体" w:cs="宋体"/>
          <w:b w:val="0"/>
          <w:bCs w:val="0"/>
          <w:color w:val="auto"/>
          <w:sz w:val="28"/>
          <w:szCs w:val="28"/>
        </w:rPr>
        <w:t>、保险</w:t>
      </w:r>
    </w:p>
    <w:p w14:paraId="2852D5A4">
      <w:pPr>
        <w:pStyle w:val="3"/>
        <w:pageBreakBefore w:val="0"/>
        <w:kinsoku/>
        <w:wordWrap/>
        <w:overflowPunct/>
        <w:topLinePunct w:val="0"/>
        <w:bidi w:val="0"/>
        <w:adjustRightInd w:val="0"/>
        <w:snapToGrid w:val="0"/>
        <w:spacing w:line="440" w:lineRule="exact"/>
        <w:ind w:right="-7" w:rightChars="-3" w:firstLine="420" w:firstLineChars="1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本工程双方约定投保内容如下：</w:t>
      </w:r>
    </w:p>
    <w:p w14:paraId="646EBE1D">
      <w:pPr>
        <w:pStyle w:val="9"/>
        <w:pageBreakBefore w:val="0"/>
        <w:kinsoku/>
        <w:wordWrap/>
        <w:overflowPunct/>
        <w:topLinePunct w:val="0"/>
        <w:bidi w:val="0"/>
        <w:spacing w:before="0" w:beforeLines="0" w:after="0" w:afterLines="0" w:line="440" w:lineRule="exact"/>
        <w:ind w:left="0" w:right="-7" w:rightChars="-3" w:firstLine="280" w:firstLineChars="100"/>
        <w:textAlignment w:val="auto"/>
        <w:rPr>
          <w:rFonts w:hint="eastAsia" w:ascii="宋体" w:hAnsi="宋体" w:eastAsia="宋体" w:cs="宋体"/>
          <w:b w:val="0"/>
          <w:bCs w:val="0"/>
          <w:color w:val="auto"/>
          <w:kern w:val="2"/>
          <w:sz w:val="28"/>
          <w:szCs w:val="28"/>
          <w:u w:val="single"/>
        </w:rPr>
      </w:pPr>
      <w:r>
        <w:rPr>
          <w:rFonts w:hint="eastAsia" w:ascii="宋体" w:hAnsi="宋体" w:eastAsia="宋体" w:cs="宋体"/>
          <w:b w:val="0"/>
          <w:bCs w:val="0"/>
          <w:color w:val="auto"/>
          <w:sz w:val="28"/>
          <w:szCs w:val="28"/>
        </w:rPr>
        <w:t>（1）发包人投保内容：</w:t>
      </w:r>
      <w:r>
        <w:rPr>
          <w:rFonts w:hint="eastAsia" w:ascii="宋体" w:hAnsi="宋体" w:eastAsia="宋体" w:cs="宋体"/>
          <w:b w:val="0"/>
          <w:bCs w:val="0"/>
          <w:color w:val="auto"/>
          <w:kern w:val="2"/>
          <w:sz w:val="28"/>
          <w:szCs w:val="28"/>
          <w:u w:val="single"/>
        </w:rPr>
        <w:t>工程开工前，发包人为建设工程和施工场内的自有人员及第三方人员生命财产办理保险，支付保险费用。发包人供应的运至施工场地内用于工程的材料设备，由发包人办理保险，并支付保险费用保险费由发包人承担。</w:t>
      </w:r>
    </w:p>
    <w:p w14:paraId="303583DE">
      <w:pPr>
        <w:pStyle w:val="3"/>
        <w:pageBreakBefore w:val="0"/>
        <w:kinsoku/>
        <w:wordWrap/>
        <w:overflowPunct/>
        <w:topLinePunct w:val="0"/>
        <w:bidi w:val="0"/>
        <w:adjustRightInd w:val="0"/>
        <w:snapToGrid w:val="0"/>
        <w:spacing w:line="440" w:lineRule="exact"/>
        <w:ind w:right="-7" w:rightChars="-3" w:firstLine="560" w:firstLineChars="200"/>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发包人委托承包人办理的保险事项：</w:t>
      </w:r>
      <w:r>
        <w:rPr>
          <w:rFonts w:hint="eastAsia" w:ascii="宋体" w:hAnsi="宋体" w:eastAsia="宋体" w:cs="宋体"/>
          <w:b w:val="0"/>
          <w:bCs w:val="0"/>
          <w:color w:val="auto"/>
          <w:sz w:val="28"/>
          <w:szCs w:val="28"/>
          <w:u w:val="single"/>
        </w:rPr>
        <w:t>失业、医疗、工伤、残疾人就业保险，已包含在合同价款中，承包人必须上缴有关部门。</w:t>
      </w:r>
    </w:p>
    <w:p w14:paraId="4168FEF9">
      <w:pPr>
        <w:pStyle w:val="9"/>
        <w:pageBreakBefore w:val="0"/>
        <w:kinsoku/>
        <w:wordWrap/>
        <w:overflowPunct/>
        <w:topLinePunct w:val="0"/>
        <w:bidi w:val="0"/>
        <w:spacing w:before="0" w:beforeLines="0" w:after="0" w:afterLines="0" w:line="440" w:lineRule="exact"/>
        <w:ind w:right="-7" w:rightChars="-3"/>
        <w:textAlignment w:val="auto"/>
        <w:rPr>
          <w:rFonts w:hint="eastAsia" w:ascii="宋体" w:hAnsi="宋体" w:eastAsia="宋体" w:cs="宋体"/>
          <w:b w:val="0"/>
          <w:bCs w:val="0"/>
          <w:color w:val="auto"/>
          <w:kern w:val="2"/>
          <w:sz w:val="28"/>
          <w:szCs w:val="28"/>
          <w:u w:val="single"/>
        </w:rPr>
      </w:pPr>
      <w:r>
        <w:rPr>
          <w:rFonts w:hint="eastAsia" w:ascii="宋体" w:hAnsi="宋体" w:eastAsia="宋体" w:cs="宋体"/>
          <w:b w:val="0"/>
          <w:bCs w:val="0"/>
          <w:color w:val="auto"/>
          <w:sz w:val="28"/>
          <w:szCs w:val="28"/>
        </w:rPr>
        <w:t>（2）承包人投保内容：</w:t>
      </w:r>
      <w:r>
        <w:rPr>
          <w:rFonts w:hint="eastAsia" w:ascii="宋体" w:hAnsi="宋体" w:eastAsia="宋体" w:cs="宋体"/>
          <w:b w:val="0"/>
          <w:bCs w:val="0"/>
          <w:color w:val="auto"/>
          <w:kern w:val="2"/>
          <w:sz w:val="28"/>
          <w:szCs w:val="28"/>
          <w:u w:val="single"/>
        </w:rPr>
        <w:t>承包人必须为施工场地内施工人员办理意外伤害保险和工伤保险，并为施工场地内的施工机械设备办理财产保险，支付保险费用。</w:t>
      </w:r>
    </w:p>
    <w:p w14:paraId="44CD7E44">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28</w:t>
      </w:r>
      <w:r>
        <w:rPr>
          <w:rFonts w:hint="eastAsia" w:ascii="宋体" w:hAnsi="宋体" w:eastAsia="宋体" w:cs="宋体"/>
          <w:b w:val="0"/>
          <w:bCs w:val="0"/>
          <w:color w:val="auto"/>
          <w:sz w:val="28"/>
          <w:szCs w:val="28"/>
        </w:rPr>
        <w:t>、担保</w:t>
      </w:r>
    </w:p>
    <w:p w14:paraId="4E0C85FA">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本工程双方约定担保事项如下：</w:t>
      </w:r>
    </w:p>
    <w:p w14:paraId="19E66636">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（1）发包人向承包者人提供支付担保，担保方式为：</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；担保金额：</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；担保有效期：</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12647EA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（2）承包人向发包人提供履约担保，担保方式为：</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694D0E9F">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（3）双方约定的其他担保事项：</w:t>
      </w:r>
      <w:r>
        <w:rPr>
          <w:rFonts w:hint="eastAsia" w:ascii="宋体" w:hAnsi="宋体" w:eastAsia="宋体" w:cs="宋体"/>
          <w:b w:val="0"/>
          <w:bCs w:val="0"/>
          <w:color w:val="auto"/>
          <w:sz w:val="28"/>
          <w:szCs w:val="28"/>
          <w:u w:val="single"/>
        </w:rPr>
        <w:t xml:space="preserve">                /                    </w:t>
      </w:r>
      <w:r>
        <w:rPr>
          <w:rFonts w:hint="eastAsia" w:ascii="宋体" w:hAnsi="宋体" w:eastAsia="宋体" w:cs="宋体"/>
          <w:b w:val="0"/>
          <w:bCs w:val="0"/>
          <w:color w:val="auto"/>
          <w:sz w:val="28"/>
          <w:szCs w:val="28"/>
        </w:rPr>
        <w:t>；</w:t>
      </w:r>
    </w:p>
    <w:p w14:paraId="2335B767">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29</w:t>
      </w:r>
      <w:r>
        <w:rPr>
          <w:rFonts w:hint="eastAsia" w:ascii="宋体" w:hAnsi="宋体" w:eastAsia="宋体" w:cs="宋体"/>
          <w:b w:val="0"/>
          <w:bCs w:val="0"/>
          <w:color w:val="auto"/>
          <w:sz w:val="28"/>
          <w:szCs w:val="28"/>
        </w:rPr>
        <w:t>、合同份数</w:t>
      </w:r>
    </w:p>
    <w:p w14:paraId="0887B62E">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双方约定合同份数：</w:t>
      </w:r>
      <w:r>
        <w:rPr>
          <w:rFonts w:hint="eastAsia" w:ascii="宋体" w:hAnsi="宋体" w:eastAsia="宋体" w:cs="宋体"/>
          <w:b w:val="0"/>
          <w:bCs w:val="0"/>
          <w:color w:val="auto"/>
          <w:sz w:val="28"/>
          <w:szCs w:val="28"/>
          <w:u w:val="single"/>
          <w:lang w:val="en-US" w:eastAsia="zh-CN"/>
        </w:rPr>
        <w:t>一式四</w:t>
      </w:r>
      <w:r>
        <w:rPr>
          <w:rFonts w:hint="eastAsia" w:ascii="宋体" w:hAnsi="宋体" w:eastAsia="宋体" w:cs="宋体"/>
          <w:b w:val="0"/>
          <w:bCs w:val="0"/>
          <w:color w:val="auto"/>
          <w:sz w:val="28"/>
          <w:szCs w:val="28"/>
          <w:u w:val="single"/>
        </w:rPr>
        <w:t>份；</w:t>
      </w:r>
      <w:r>
        <w:rPr>
          <w:rFonts w:hint="eastAsia" w:ascii="宋体" w:hAnsi="宋体" w:eastAsia="宋体" w:cs="宋体"/>
          <w:b w:val="0"/>
          <w:bCs w:val="0"/>
          <w:color w:val="auto"/>
          <w:sz w:val="28"/>
          <w:szCs w:val="28"/>
          <w:u w:val="single"/>
          <w:lang w:val="en-US" w:eastAsia="zh-CN"/>
        </w:rPr>
        <w:t>甲乙</w:t>
      </w:r>
      <w:r>
        <w:rPr>
          <w:rFonts w:hint="eastAsia" w:ascii="宋体" w:hAnsi="宋体" w:eastAsia="宋体" w:cs="宋体"/>
          <w:b w:val="0"/>
          <w:bCs w:val="0"/>
          <w:color w:val="auto"/>
          <w:sz w:val="28"/>
          <w:szCs w:val="28"/>
          <w:u w:val="single"/>
        </w:rPr>
        <w:t>双方各持</w:t>
      </w:r>
      <w:r>
        <w:rPr>
          <w:rFonts w:hint="eastAsia" w:ascii="宋体" w:hAnsi="宋体" w:eastAsia="宋体" w:cs="宋体"/>
          <w:b w:val="0"/>
          <w:bCs w:val="0"/>
          <w:color w:val="auto"/>
          <w:sz w:val="28"/>
          <w:szCs w:val="28"/>
          <w:u w:val="single"/>
          <w:lang w:val="en-US" w:eastAsia="zh-CN"/>
        </w:rPr>
        <w:t>两</w:t>
      </w:r>
      <w:r>
        <w:rPr>
          <w:rFonts w:hint="eastAsia" w:ascii="宋体" w:hAnsi="宋体" w:eastAsia="宋体" w:cs="宋体"/>
          <w:b w:val="0"/>
          <w:bCs w:val="0"/>
          <w:color w:val="auto"/>
          <w:sz w:val="28"/>
          <w:szCs w:val="28"/>
          <w:u w:val="single"/>
        </w:rPr>
        <w:t>份。</w:t>
      </w:r>
    </w:p>
    <w:p w14:paraId="3FA8A038">
      <w:pPr>
        <w:pStyle w:val="3"/>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、补充条款</w:t>
      </w:r>
    </w:p>
    <w:p w14:paraId="15E26514">
      <w:pPr>
        <w:pageBreakBefore w:val="0"/>
        <w:kinsoku/>
        <w:wordWrap/>
        <w:overflowPunct/>
        <w:topLinePunct w:val="0"/>
        <w:bidi w:val="0"/>
        <w:spacing w:line="440" w:lineRule="exact"/>
        <w:ind w:firstLine="700" w:firstLineChars="25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1承包人招聘的农民工工资，当承包人申报当期进度款计划时应一并报发包人，发包人有权监督承包人在支付的当期进度款中发放农民工工资。因承包人不按期支付农民工资，造成不良影响时，发包人有权在当期进度款中代扣代发。</w:t>
      </w:r>
    </w:p>
    <w:p w14:paraId="0FCBE034">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.2本工程竣工后，应将施工现场周围和施工单位生活区周围范围内施工现场清除干净；无建筑材料、无建筑、无临时垃圾、无坑池渠沟、无掩埋的硬化道路和垃圾，场地整洁。否则发包人不予支付工程款。</w:t>
      </w:r>
    </w:p>
    <w:p w14:paraId="10B169D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.3必须按市级文明工地标准施工，严格按文明工地施工，设立专用垃圾场，不得在施工区内任意堆放或乱倒垃圾，定期将建筑垃圾清理外运。</w:t>
      </w:r>
    </w:p>
    <w:p w14:paraId="671FEFFA">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4施工过程中，资料和工程进度必须同步。每月发包人管理人员对施工进度和资料进行检查，出现问题限期整改，否则罚款1000元人民币。在工程竣工验收前，承包人要按规定将竣工资料交工程监理验收，由工程监理出据相应证明后，发包人方可组织验收。</w:t>
      </w:r>
    </w:p>
    <w:p w14:paraId="260F4AE8">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.5安全管理人员必须持证上岗，并负责检查现场和施工人员安全情况，如工程监理和发包人管理人员发现有不安全因素存在，经指出仍未纠正每次罚款500元人民币。出现安全事故，施工单位自负。</w:t>
      </w:r>
    </w:p>
    <w:p w14:paraId="67DF222D">
      <w:pPr>
        <w:pageBreakBefore w:val="0"/>
        <w:kinsoku/>
        <w:wordWrap/>
        <w:overflowPunct/>
        <w:topLinePunct w:val="0"/>
        <w:bidi w:val="0"/>
        <w:adjustRightInd w:val="0"/>
        <w:snapToGrid w:val="0"/>
        <w:spacing w:line="440" w:lineRule="exact"/>
        <w:ind w:right="-7" w:rightChars="-3" w:firstLine="607" w:firstLineChars="217"/>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.6现场用电必须按照发包人要求，三相五线制，一机一闸必须带漏电保护，不许用电炉。如施工现场出现用电漏电或短路跳闸，造成停电，影响发包人用电，每次违约金2000元。</w:t>
      </w:r>
    </w:p>
    <w:p w14:paraId="4A03D1F4">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.7其他项目费中除总承包服务费外，预留金属发包人预留的款额，可随时扣除。</w:t>
      </w:r>
    </w:p>
    <w:p w14:paraId="52064A10">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.8 措施项目费应为合同价款的组成部分，一般不作调整，如需调整时可按陕建发[2005]102号文有关条款执行。</w:t>
      </w:r>
    </w:p>
    <w:p w14:paraId="3C9360D2">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30</w:t>
      </w:r>
      <w:r>
        <w:rPr>
          <w:rFonts w:hint="eastAsia" w:ascii="宋体" w:hAnsi="宋体" w:eastAsia="宋体" w:cs="宋体"/>
          <w:b w:val="0"/>
          <w:bCs w:val="0"/>
          <w:color w:val="auto"/>
          <w:sz w:val="28"/>
          <w:szCs w:val="28"/>
        </w:rPr>
        <w:t>.9 变更签证随进度款支付。</w:t>
      </w:r>
    </w:p>
    <w:p w14:paraId="49060A37">
      <w:pPr>
        <w:pageBreakBefore w:val="0"/>
        <w:kinsoku/>
        <w:wordWrap/>
        <w:overflowPunct/>
        <w:topLinePunct w:val="0"/>
        <w:bidi w:val="0"/>
        <w:adjustRightInd w:val="0"/>
        <w:snapToGrid w:val="0"/>
        <w:spacing w:line="440" w:lineRule="exact"/>
        <w:ind w:right="-7" w:rightChars="-3" w:firstLine="48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30.10施工过程中，双方另行签订的补充协议与本合同具有同等法律效力。</w:t>
      </w:r>
    </w:p>
    <w:p w14:paraId="6C0B876E">
      <w:pPr>
        <w:adjustRightInd w:val="0"/>
        <w:snapToGrid w:val="0"/>
        <w:spacing w:line="300" w:lineRule="auto"/>
        <w:ind w:right="-7" w:rightChars="-3" w:firstLine="480"/>
        <w:rPr>
          <w:rFonts w:hint="eastAsia" w:ascii="宋体" w:hAnsi="宋体" w:eastAsia="宋体" w:cs="宋体"/>
          <w:b w:val="0"/>
          <w:bCs w:val="0"/>
          <w:color w:val="auto"/>
          <w:sz w:val="28"/>
          <w:szCs w:val="28"/>
        </w:rPr>
      </w:pPr>
    </w:p>
    <w:p w14:paraId="06428B27">
      <w:pPr>
        <w:adjustRightInd w:val="0"/>
        <w:snapToGrid w:val="0"/>
        <w:spacing w:line="300" w:lineRule="auto"/>
        <w:ind w:right="-7" w:rightChars="-3"/>
        <w:rPr>
          <w:rFonts w:hint="eastAsia" w:ascii="宋体" w:hAnsi="宋体" w:eastAsia="宋体" w:cs="宋体"/>
          <w:b w:val="0"/>
          <w:bCs w:val="0"/>
          <w:color w:val="auto"/>
          <w:sz w:val="28"/>
          <w:szCs w:val="28"/>
        </w:rPr>
      </w:pPr>
    </w:p>
    <w:p w14:paraId="7513BF80">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附件1：承包人承揽工程项目一览表</w:t>
      </w:r>
    </w:p>
    <w:p w14:paraId="4E8B2C01">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附件2：工程质量保修书</w:t>
      </w:r>
    </w:p>
    <w:p w14:paraId="7FB55C48">
      <w:pPr>
        <w:adjustRightInd w:val="0"/>
        <w:snapToGrid w:val="0"/>
        <w:spacing w:line="300" w:lineRule="auto"/>
        <w:ind w:right="-7" w:rightChars="-3"/>
        <w:rPr>
          <w:rFonts w:hint="eastAsia" w:ascii="宋体" w:hAnsi="宋体" w:eastAsia="宋体" w:cs="宋体"/>
          <w:b w:val="0"/>
          <w:bCs w:val="0"/>
          <w:color w:val="auto"/>
          <w:sz w:val="28"/>
          <w:szCs w:val="28"/>
        </w:rPr>
        <w:sectPr>
          <w:footerReference r:id="rId3" w:type="default"/>
          <w:pgSz w:w="11906" w:h="16838"/>
          <w:pgMar w:top="1077" w:right="1077" w:bottom="1077" w:left="1077" w:header="851" w:footer="992" w:gutter="0"/>
          <w:pgNumType w:fmt="decimal"/>
          <w:cols w:space="720" w:num="1"/>
          <w:docGrid w:type="lines" w:linePitch="312" w:charSpace="0"/>
        </w:sectPr>
      </w:pPr>
    </w:p>
    <w:p w14:paraId="42C1E7D4">
      <w:pPr>
        <w:adjustRightInd w:val="0"/>
        <w:snapToGrid w:val="0"/>
        <w:spacing w:line="30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附件1：</w:t>
      </w:r>
    </w:p>
    <w:p w14:paraId="2453AC08">
      <w:pPr>
        <w:adjustRightInd w:val="0"/>
        <w:snapToGrid w:val="0"/>
        <w:spacing w:line="300" w:lineRule="auto"/>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承包人承揽工程项目一览表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9"/>
        <w:gridCol w:w="792"/>
        <w:gridCol w:w="793"/>
        <w:gridCol w:w="459"/>
        <w:gridCol w:w="703"/>
        <w:gridCol w:w="1163"/>
        <w:gridCol w:w="3277"/>
        <w:gridCol w:w="1489"/>
        <w:gridCol w:w="1489"/>
        <w:gridCol w:w="1489"/>
      </w:tblGrid>
      <w:tr w14:paraId="6451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3069" w:type="dxa"/>
            <w:noWrap w:val="0"/>
            <w:vAlign w:val="center"/>
          </w:tcPr>
          <w:p w14:paraId="493E9A94">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单位工程名称</w:t>
            </w:r>
          </w:p>
        </w:tc>
        <w:tc>
          <w:tcPr>
            <w:tcW w:w="792" w:type="dxa"/>
            <w:noWrap w:val="0"/>
            <w:vAlign w:val="center"/>
          </w:tcPr>
          <w:p w14:paraId="631813FC">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建设</w:t>
            </w:r>
          </w:p>
          <w:p w14:paraId="0CA0266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规模</w:t>
            </w:r>
          </w:p>
        </w:tc>
        <w:tc>
          <w:tcPr>
            <w:tcW w:w="793" w:type="dxa"/>
            <w:noWrap w:val="0"/>
            <w:vAlign w:val="center"/>
          </w:tcPr>
          <w:p w14:paraId="0590F911">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建筑</w:t>
            </w:r>
          </w:p>
          <w:p w14:paraId="7B5D2BD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面积</w:t>
            </w:r>
          </w:p>
        </w:tc>
        <w:tc>
          <w:tcPr>
            <w:tcW w:w="459" w:type="dxa"/>
            <w:noWrap w:val="0"/>
            <w:vAlign w:val="center"/>
          </w:tcPr>
          <w:p w14:paraId="008287B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结构</w:t>
            </w:r>
          </w:p>
        </w:tc>
        <w:tc>
          <w:tcPr>
            <w:tcW w:w="703" w:type="dxa"/>
            <w:noWrap w:val="0"/>
            <w:vAlign w:val="center"/>
          </w:tcPr>
          <w:p w14:paraId="2DBB868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层数</w:t>
            </w:r>
          </w:p>
        </w:tc>
        <w:tc>
          <w:tcPr>
            <w:tcW w:w="1163" w:type="dxa"/>
            <w:noWrap w:val="0"/>
            <w:vAlign w:val="center"/>
          </w:tcPr>
          <w:p w14:paraId="0AC16E8A">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跨度</w:t>
            </w:r>
          </w:p>
          <w:p w14:paraId="0D20BE5D">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(米)</w:t>
            </w:r>
          </w:p>
        </w:tc>
        <w:tc>
          <w:tcPr>
            <w:tcW w:w="3277" w:type="dxa"/>
            <w:noWrap w:val="0"/>
            <w:vAlign w:val="center"/>
          </w:tcPr>
          <w:p w14:paraId="16708110">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设备安装内容</w:t>
            </w:r>
          </w:p>
        </w:tc>
        <w:tc>
          <w:tcPr>
            <w:tcW w:w="1489" w:type="dxa"/>
            <w:noWrap w:val="0"/>
            <w:vAlign w:val="center"/>
          </w:tcPr>
          <w:p w14:paraId="726061A7">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工程造价</w:t>
            </w:r>
          </w:p>
          <w:p w14:paraId="49931F4C">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(元)</w:t>
            </w:r>
          </w:p>
        </w:tc>
        <w:tc>
          <w:tcPr>
            <w:tcW w:w="1489" w:type="dxa"/>
            <w:noWrap w:val="0"/>
            <w:vAlign w:val="center"/>
          </w:tcPr>
          <w:p w14:paraId="499A8751">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开工</w:t>
            </w:r>
          </w:p>
          <w:p w14:paraId="7BB68EA6">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日期</w:t>
            </w:r>
          </w:p>
        </w:tc>
        <w:tc>
          <w:tcPr>
            <w:tcW w:w="1489" w:type="dxa"/>
            <w:noWrap w:val="0"/>
            <w:vAlign w:val="center"/>
          </w:tcPr>
          <w:p w14:paraId="30E3F39F">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竣工</w:t>
            </w:r>
          </w:p>
          <w:p w14:paraId="5664A3C6">
            <w:pPr>
              <w:adjustRightInd w:val="0"/>
              <w:snapToGrid w:val="0"/>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日期</w:t>
            </w:r>
          </w:p>
        </w:tc>
      </w:tr>
      <w:tr w14:paraId="3412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center"/>
          </w:tcPr>
          <w:p w14:paraId="67A13692">
            <w:pPr>
              <w:adjustRightInd w:val="0"/>
              <w:snapToGrid w:val="0"/>
              <w:spacing w:line="300" w:lineRule="auto"/>
              <w:ind w:right="-7" w:rightChars="-3"/>
              <w:jc w:val="center"/>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详见清单文件</w:t>
            </w:r>
          </w:p>
        </w:tc>
        <w:tc>
          <w:tcPr>
            <w:tcW w:w="792" w:type="dxa"/>
            <w:noWrap w:val="0"/>
            <w:vAlign w:val="top"/>
          </w:tcPr>
          <w:p w14:paraId="1CB1F470">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B23FA5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1A881EA4">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AC5A79A">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04E35460">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42745F8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78D3C9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1370A7B">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D577AE6">
            <w:pPr>
              <w:adjustRightInd w:val="0"/>
              <w:snapToGrid w:val="0"/>
              <w:spacing w:line="300" w:lineRule="auto"/>
              <w:ind w:right="-7" w:rightChars="-3"/>
              <w:rPr>
                <w:rFonts w:hint="eastAsia" w:ascii="宋体" w:hAnsi="宋体" w:eastAsia="宋体" w:cs="宋体"/>
                <w:b w:val="0"/>
                <w:bCs w:val="0"/>
                <w:color w:val="auto"/>
                <w:sz w:val="28"/>
                <w:szCs w:val="28"/>
              </w:rPr>
            </w:pPr>
          </w:p>
        </w:tc>
      </w:tr>
      <w:tr w14:paraId="412D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3436A2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568F9F0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02F4ED04">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52903F2C">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21A44F15">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4101816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62C8D3E8">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9BB5DDE">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F23037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730D291">
            <w:pPr>
              <w:adjustRightInd w:val="0"/>
              <w:snapToGrid w:val="0"/>
              <w:spacing w:line="300" w:lineRule="auto"/>
              <w:ind w:right="-7" w:rightChars="-3"/>
              <w:rPr>
                <w:rFonts w:hint="eastAsia" w:ascii="宋体" w:hAnsi="宋体" w:eastAsia="宋体" w:cs="宋体"/>
                <w:b w:val="0"/>
                <w:bCs w:val="0"/>
                <w:color w:val="auto"/>
                <w:sz w:val="28"/>
                <w:szCs w:val="28"/>
              </w:rPr>
            </w:pPr>
          </w:p>
        </w:tc>
      </w:tr>
      <w:tr w14:paraId="5945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E66DE83">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7B4B2B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38F0BE0A">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A22684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A3A7D99">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42128A2">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0A26F6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430BAC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A01E55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622479B">
            <w:pPr>
              <w:adjustRightInd w:val="0"/>
              <w:snapToGrid w:val="0"/>
              <w:spacing w:line="300" w:lineRule="auto"/>
              <w:ind w:right="-7" w:rightChars="-3"/>
              <w:rPr>
                <w:rFonts w:hint="eastAsia" w:ascii="宋体" w:hAnsi="宋体" w:eastAsia="宋体" w:cs="宋体"/>
                <w:b w:val="0"/>
                <w:bCs w:val="0"/>
                <w:color w:val="auto"/>
                <w:sz w:val="28"/>
                <w:szCs w:val="28"/>
              </w:rPr>
            </w:pPr>
          </w:p>
        </w:tc>
      </w:tr>
      <w:tr w14:paraId="6D57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6C31AA5">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E9F7D8E">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6332DF9C">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507CE3A">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2A9452CF">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64CB860C">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1DCE7FC9">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FF86EF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B986933">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15790B0">
            <w:pPr>
              <w:adjustRightInd w:val="0"/>
              <w:snapToGrid w:val="0"/>
              <w:spacing w:line="300" w:lineRule="auto"/>
              <w:ind w:right="-7" w:rightChars="-3"/>
              <w:rPr>
                <w:rFonts w:hint="eastAsia" w:ascii="宋体" w:hAnsi="宋体" w:eastAsia="宋体" w:cs="宋体"/>
                <w:b w:val="0"/>
                <w:bCs w:val="0"/>
                <w:color w:val="auto"/>
                <w:sz w:val="28"/>
                <w:szCs w:val="28"/>
              </w:rPr>
            </w:pPr>
          </w:p>
        </w:tc>
      </w:tr>
      <w:tr w14:paraId="27CF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0ABA9B0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57A2244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1C6961F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21D7CD3B">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3CF078BE">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31D19E89">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59586FC4">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5C1B32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BE3FF4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0CF17F6">
            <w:pPr>
              <w:adjustRightInd w:val="0"/>
              <w:snapToGrid w:val="0"/>
              <w:spacing w:line="300" w:lineRule="auto"/>
              <w:ind w:right="-7" w:rightChars="-3"/>
              <w:rPr>
                <w:rFonts w:hint="eastAsia" w:ascii="宋体" w:hAnsi="宋体" w:eastAsia="宋体" w:cs="宋体"/>
                <w:b w:val="0"/>
                <w:bCs w:val="0"/>
                <w:color w:val="auto"/>
                <w:sz w:val="28"/>
                <w:szCs w:val="28"/>
              </w:rPr>
            </w:pPr>
          </w:p>
        </w:tc>
      </w:tr>
      <w:tr w14:paraId="312D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1C2FA0B">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0AB6DD1">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49D68B8">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5960231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B7D1CD6">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450414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702A44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9C3594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20F63F0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66A4323">
            <w:pPr>
              <w:adjustRightInd w:val="0"/>
              <w:snapToGrid w:val="0"/>
              <w:spacing w:line="300" w:lineRule="auto"/>
              <w:ind w:right="-7" w:rightChars="-3"/>
              <w:rPr>
                <w:rFonts w:hint="eastAsia" w:ascii="宋体" w:hAnsi="宋体" w:eastAsia="宋体" w:cs="宋体"/>
                <w:b w:val="0"/>
                <w:bCs w:val="0"/>
                <w:color w:val="auto"/>
                <w:sz w:val="28"/>
                <w:szCs w:val="28"/>
              </w:rPr>
            </w:pPr>
          </w:p>
        </w:tc>
      </w:tr>
      <w:tr w14:paraId="18FB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17712A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1BE82966">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C398D06">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25E3B17E">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14F47EEE">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20D29E70">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3D08A6B6">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DA415E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163862D4">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0AD2233">
            <w:pPr>
              <w:adjustRightInd w:val="0"/>
              <w:snapToGrid w:val="0"/>
              <w:spacing w:line="300" w:lineRule="auto"/>
              <w:ind w:right="-7" w:rightChars="-3"/>
              <w:rPr>
                <w:rFonts w:hint="eastAsia" w:ascii="宋体" w:hAnsi="宋体" w:eastAsia="宋体" w:cs="宋体"/>
                <w:b w:val="0"/>
                <w:bCs w:val="0"/>
                <w:color w:val="auto"/>
                <w:sz w:val="28"/>
                <w:szCs w:val="28"/>
              </w:rPr>
            </w:pPr>
          </w:p>
        </w:tc>
      </w:tr>
      <w:tr w14:paraId="0E21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56FEFAD2">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0321E59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5CB86D20">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265D42C">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15D7FF2">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7C3DC369">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FFEC0F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67CBA2FA">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FC6CCB7">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CAFD022">
            <w:pPr>
              <w:adjustRightInd w:val="0"/>
              <w:snapToGrid w:val="0"/>
              <w:spacing w:line="300" w:lineRule="auto"/>
              <w:ind w:right="-7" w:rightChars="-3"/>
              <w:rPr>
                <w:rFonts w:hint="eastAsia" w:ascii="宋体" w:hAnsi="宋体" w:eastAsia="宋体" w:cs="宋体"/>
                <w:b w:val="0"/>
                <w:bCs w:val="0"/>
                <w:color w:val="auto"/>
                <w:sz w:val="28"/>
                <w:szCs w:val="28"/>
              </w:rPr>
            </w:pPr>
          </w:p>
        </w:tc>
      </w:tr>
      <w:tr w14:paraId="265C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3126CA98">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44ED2372">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6BF42437">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38F1931">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157F1D53">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6208C88">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07D0C6B7">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D97A8E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A27258A">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49C1E869">
            <w:pPr>
              <w:adjustRightInd w:val="0"/>
              <w:snapToGrid w:val="0"/>
              <w:spacing w:line="300" w:lineRule="auto"/>
              <w:ind w:right="-7" w:rightChars="-3"/>
              <w:rPr>
                <w:rFonts w:hint="eastAsia" w:ascii="宋体" w:hAnsi="宋体" w:eastAsia="宋体" w:cs="宋体"/>
                <w:b w:val="0"/>
                <w:bCs w:val="0"/>
                <w:color w:val="auto"/>
                <w:sz w:val="28"/>
                <w:szCs w:val="28"/>
              </w:rPr>
            </w:pPr>
          </w:p>
        </w:tc>
      </w:tr>
      <w:tr w14:paraId="1A80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2AC8A920">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61A71E1E">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0EE9779E">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4CBF9B09">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78F570A">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1F5956DC">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259D2EA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7D839C35">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528CA12">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6984E67">
            <w:pPr>
              <w:adjustRightInd w:val="0"/>
              <w:snapToGrid w:val="0"/>
              <w:spacing w:line="300" w:lineRule="auto"/>
              <w:ind w:right="-7" w:rightChars="-3"/>
              <w:rPr>
                <w:rFonts w:hint="eastAsia" w:ascii="宋体" w:hAnsi="宋体" w:eastAsia="宋体" w:cs="宋体"/>
                <w:b w:val="0"/>
                <w:bCs w:val="0"/>
                <w:color w:val="auto"/>
                <w:sz w:val="28"/>
                <w:szCs w:val="28"/>
              </w:rPr>
            </w:pPr>
          </w:p>
        </w:tc>
      </w:tr>
      <w:tr w14:paraId="66C5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A63308F">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2BE059B5">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1F0389B9">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7BE761AA">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55456EE7">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6F3441FD">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626BA993">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35DC7D8C">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3D73F41">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64300A8">
            <w:pPr>
              <w:adjustRightInd w:val="0"/>
              <w:snapToGrid w:val="0"/>
              <w:spacing w:line="300" w:lineRule="auto"/>
              <w:ind w:right="-7" w:rightChars="-3"/>
              <w:rPr>
                <w:rFonts w:hint="eastAsia" w:ascii="宋体" w:hAnsi="宋体" w:eastAsia="宋体" w:cs="宋体"/>
                <w:b w:val="0"/>
                <w:bCs w:val="0"/>
                <w:color w:val="auto"/>
                <w:sz w:val="28"/>
                <w:szCs w:val="28"/>
              </w:rPr>
            </w:pPr>
          </w:p>
        </w:tc>
      </w:tr>
      <w:tr w14:paraId="3ABA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069" w:type="dxa"/>
            <w:noWrap w:val="0"/>
            <w:vAlign w:val="top"/>
          </w:tcPr>
          <w:p w14:paraId="613BDE74">
            <w:pPr>
              <w:adjustRightInd w:val="0"/>
              <w:snapToGrid w:val="0"/>
              <w:spacing w:line="300" w:lineRule="auto"/>
              <w:ind w:right="-7" w:rightChars="-3"/>
              <w:rPr>
                <w:rFonts w:hint="eastAsia" w:ascii="宋体" w:hAnsi="宋体" w:eastAsia="宋体" w:cs="宋体"/>
                <w:b w:val="0"/>
                <w:bCs w:val="0"/>
                <w:color w:val="auto"/>
                <w:sz w:val="28"/>
                <w:szCs w:val="28"/>
              </w:rPr>
            </w:pPr>
          </w:p>
        </w:tc>
        <w:tc>
          <w:tcPr>
            <w:tcW w:w="792" w:type="dxa"/>
            <w:noWrap w:val="0"/>
            <w:vAlign w:val="top"/>
          </w:tcPr>
          <w:p w14:paraId="7FC008E3">
            <w:pPr>
              <w:adjustRightInd w:val="0"/>
              <w:snapToGrid w:val="0"/>
              <w:spacing w:line="300" w:lineRule="auto"/>
              <w:ind w:right="-7" w:rightChars="-3"/>
              <w:rPr>
                <w:rFonts w:hint="eastAsia" w:ascii="宋体" w:hAnsi="宋体" w:eastAsia="宋体" w:cs="宋体"/>
                <w:b w:val="0"/>
                <w:bCs w:val="0"/>
                <w:color w:val="auto"/>
                <w:sz w:val="28"/>
                <w:szCs w:val="28"/>
              </w:rPr>
            </w:pPr>
          </w:p>
        </w:tc>
        <w:tc>
          <w:tcPr>
            <w:tcW w:w="793" w:type="dxa"/>
            <w:noWrap w:val="0"/>
            <w:vAlign w:val="top"/>
          </w:tcPr>
          <w:p w14:paraId="4E798CC4">
            <w:pPr>
              <w:adjustRightInd w:val="0"/>
              <w:snapToGrid w:val="0"/>
              <w:spacing w:line="300" w:lineRule="auto"/>
              <w:ind w:right="-7" w:rightChars="-3"/>
              <w:rPr>
                <w:rFonts w:hint="eastAsia" w:ascii="宋体" w:hAnsi="宋体" w:eastAsia="宋体" w:cs="宋体"/>
                <w:b w:val="0"/>
                <w:bCs w:val="0"/>
                <w:color w:val="auto"/>
                <w:sz w:val="28"/>
                <w:szCs w:val="28"/>
              </w:rPr>
            </w:pPr>
          </w:p>
        </w:tc>
        <w:tc>
          <w:tcPr>
            <w:tcW w:w="459" w:type="dxa"/>
            <w:noWrap w:val="0"/>
            <w:vAlign w:val="top"/>
          </w:tcPr>
          <w:p w14:paraId="196D7C76">
            <w:pPr>
              <w:adjustRightInd w:val="0"/>
              <w:snapToGrid w:val="0"/>
              <w:spacing w:line="300" w:lineRule="auto"/>
              <w:ind w:right="-7" w:rightChars="-3"/>
              <w:rPr>
                <w:rFonts w:hint="eastAsia" w:ascii="宋体" w:hAnsi="宋体" w:eastAsia="宋体" w:cs="宋体"/>
                <w:b w:val="0"/>
                <w:bCs w:val="0"/>
                <w:color w:val="auto"/>
                <w:sz w:val="28"/>
                <w:szCs w:val="28"/>
              </w:rPr>
            </w:pPr>
          </w:p>
        </w:tc>
        <w:tc>
          <w:tcPr>
            <w:tcW w:w="703" w:type="dxa"/>
            <w:noWrap w:val="0"/>
            <w:vAlign w:val="top"/>
          </w:tcPr>
          <w:p w14:paraId="64E96712">
            <w:pPr>
              <w:adjustRightInd w:val="0"/>
              <w:snapToGrid w:val="0"/>
              <w:spacing w:line="300" w:lineRule="auto"/>
              <w:ind w:right="-7" w:rightChars="-3"/>
              <w:rPr>
                <w:rFonts w:hint="eastAsia" w:ascii="宋体" w:hAnsi="宋体" w:eastAsia="宋体" w:cs="宋体"/>
                <w:b w:val="0"/>
                <w:bCs w:val="0"/>
                <w:color w:val="auto"/>
                <w:sz w:val="28"/>
                <w:szCs w:val="28"/>
              </w:rPr>
            </w:pPr>
          </w:p>
        </w:tc>
        <w:tc>
          <w:tcPr>
            <w:tcW w:w="1163" w:type="dxa"/>
            <w:noWrap w:val="0"/>
            <w:vAlign w:val="top"/>
          </w:tcPr>
          <w:p w14:paraId="5E32E774">
            <w:pPr>
              <w:adjustRightInd w:val="0"/>
              <w:snapToGrid w:val="0"/>
              <w:spacing w:line="300" w:lineRule="auto"/>
              <w:ind w:right="-7" w:rightChars="-3"/>
              <w:rPr>
                <w:rFonts w:hint="eastAsia" w:ascii="宋体" w:hAnsi="宋体" w:eastAsia="宋体" w:cs="宋体"/>
                <w:b w:val="0"/>
                <w:bCs w:val="0"/>
                <w:color w:val="auto"/>
                <w:sz w:val="28"/>
                <w:szCs w:val="28"/>
              </w:rPr>
            </w:pPr>
          </w:p>
        </w:tc>
        <w:tc>
          <w:tcPr>
            <w:tcW w:w="3277" w:type="dxa"/>
            <w:noWrap w:val="0"/>
            <w:vAlign w:val="top"/>
          </w:tcPr>
          <w:p w14:paraId="185A921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EBFD1E0">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5BB1E9FE">
            <w:pPr>
              <w:adjustRightInd w:val="0"/>
              <w:snapToGrid w:val="0"/>
              <w:spacing w:line="300" w:lineRule="auto"/>
              <w:ind w:right="-7" w:rightChars="-3"/>
              <w:rPr>
                <w:rFonts w:hint="eastAsia" w:ascii="宋体" w:hAnsi="宋体" w:eastAsia="宋体" w:cs="宋体"/>
                <w:b w:val="0"/>
                <w:bCs w:val="0"/>
                <w:color w:val="auto"/>
                <w:sz w:val="28"/>
                <w:szCs w:val="28"/>
              </w:rPr>
            </w:pPr>
          </w:p>
        </w:tc>
        <w:tc>
          <w:tcPr>
            <w:tcW w:w="1489" w:type="dxa"/>
            <w:noWrap w:val="0"/>
            <w:vAlign w:val="top"/>
          </w:tcPr>
          <w:p w14:paraId="0C67B17D">
            <w:pPr>
              <w:adjustRightInd w:val="0"/>
              <w:snapToGrid w:val="0"/>
              <w:spacing w:line="300" w:lineRule="auto"/>
              <w:ind w:right="-7" w:rightChars="-3"/>
              <w:rPr>
                <w:rFonts w:hint="eastAsia" w:ascii="宋体" w:hAnsi="宋体" w:eastAsia="宋体" w:cs="宋体"/>
                <w:b w:val="0"/>
                <w:bCs w:val="0"/>
                <w:color w:val="auto"/>
                <w:sz w:val="28"/>
                <w:szCs w:val="28"/>
              </w:rPr>
            </w:pPr>
          </w:p>
        </w:tc>
      </w:tr>
    </w:tbl>
    <w:p w14:paraId="483D4DC2">
      <w:pPr>
        <w:adjustRightInd w:val="0"/>
        <w:snapToGrid w:val="0"/>
        <w:spacing w:line="300" w:lineRule="auto"/>
        <w:ind w:right="-7" w:rightChars="-3"/>
        <w:rPr>
          <w:rFonts w:hint="eastAsia" w:ascii="宋体" w:hAnsi="宋体" w:eastAsia="宋体" w:cs="宋体"/>
          <w:b w:val="0"/>
          <w:bCs w:val="0"/>
          <w:color w:val="auto"/>
          <w:sz w:val="28"/>
          <w:szCs w:val="28"/>
        </w:rPr>
        <w:sectPr>
          <w:pgSz w:w="16838" w:h="11906" w:orient="landscape"/>
          <w:pgMar w:top="964" w:right="1134" w:bottom="964" w:left="1134" w:header="851" w:footer="992" w:gutter="0"/>
          <w:pgNumType w:fmt="decimal"/>
          <w:cols w:space="720" w:num="1"/>
          <w:docGrid w:type="lines" w:linePitch="312" w:charSpace="0"/>
        </w:sectPr>
      </w:pPr>
    </w:p>
    <w:p w14:paraId="7373832C">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附件2： </w:t>
      </w:r>
    </w:p>
    <w:p w14:paraId="07149441">
      <w:pPr>
        <w:adjustRightInd w:val="0"/>
        <w:snapToGrid w:val="0"/>
        <w:spacing w:line="300" w:lineRule="auto"/>
        <w:ind w:right="-7" w:rightChars="-3"/>
        <w:jc w:val="center"/>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工程质量保修书</w:t>
      </w:r>
    </w:p>
    <w:p w14:paraId="0644C0F0">
      <w:pPr>
        <w:adjustRightInd w:val="0"/>
        <w:snapToGrid w:val="0"/>
        <w:spacing w:line="300" w:lineRule="auto"/>
        <w:ind w:right="-7" w:rightChars="-3"/>
        <w:rPr>
          <w:rFonts w:hint="eastAsia" w:ascii="宋体" w:hAnsi="宋体" w:eastAsia="宋体" w:cs="宋体"/>
          <w:b w:val="0"/>
          <w:bCs w:val="0"/>
          <w:color w:val="auto"/>
          <w:sz w:val="28"/>
          <w:szCs w:val="28"/>
        </w:rPr>
      </w:pPr>
    </w:p>
    <w:p w14:paraId="6736C806">
      <w:pPr>
        <w:adjustRightInd w:val="0"/>
        <w:snapToGrid w:val="0"/>
        <w:spacing w:line="360" w:lineRule="auto"/>
        <w:ind w:right="-7" w:rightChars="-3"/>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发包人（全称）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p>
    <w:p w14:paraId="255760B3">
      <w:pPr>
        <w:tabs>
          <w:tab w:val="left" w:pos="630"/>
        </w:tabs>
        <w:adjustRightInd w:val="0"/>
        <w:snapToGrid w:val="0"/>
        <w:spacing w:line="360" w:lineRule="auto"/>
        <w:ind w:right="-7" w:rightChars="-3"/>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承包人（全称）</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p>
    <w:p w14:paraId="5B937C6A">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为保证</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(工程名称)在合理使用期限内正常使用，发包人、承包人协商一致签订工程质量保修书。承包人在保修期内按照有关管理规定及双方约定承担工程质量保修责任。</w:t>
      </w:r>
    </w:p>
    <w:p w14:paraId="39AD5CEC">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工程质量保修范围和内容</w:t>
      </w:r>
    </w:p>
    <w:p w14:paraId="4A915AB6">
      <w:pPr>
        <w:adjustRightInd w:val="0"/>
        <w:snapToGrid w:val="0"/>
        <w:spacing w:line="360" w:lineRule="auto"/>
        <w:ind w:right="-7" w:rightChars="-3" w:firstLine="490" w:firstLineChars="175"/>
        <w:rPr>
          <w:rFonts w:hint="eastAsia" w:ascii="宋体" w:hAnsi="宋体" w:eastAsia="宋体" w:cs="宋体"/>
          <w:b w:val="0"/>
          <w:bCs w:val="0"/>
          <w:color w:val="auto"/>
          <w:sz w:val="28"/>
          <w:szCs w:val="28"/>
          <w:u w:val="single"/>
        </w:rPr>
      </w:pPr>
      <w:r>
        <w:rPr>
          <w:rFonts w:hint="eastAsia" w:ascii="宋体" w:hAnsi="宋体" w:eastAsia="宋体" w:cs="宋体"/>
          <w:b w:val="0"/>
          <w:bCs w:val="0"/>
          <w:color w:val="auto"/>
          <w:sz w:val="28"/>
          <w:szCs w:val="28"/>
        </w:rPr>
        <w:t>质量保修范围包括地基基础工程、主体结构工程、屋面防水工程和双方约定的其他土建工程，以及电气管线、上下水管线的安装工程，供热、供冷系统工程等</w:t>
      </w:r>
      <w:r>
        <w:rPr>
          <w:rFonts w:hint="eastAsia" w:ascii="宋体" w:hAnsi="宋体" w:eastAsia="宋体" w:cs="宋体"/>
          <w:b w:val="0"/>
          <w:bCs w:val="0"/>
          <w:color w:val="auto"/>
          <w:sz w:val="28"/>
          <w:szCs w:val="28"/>
          <w:lang w:val="en-US" w:eastAsia="zh-CN"/>
        </w:rPr>
        <w:t>内容</w:t>
      </w:r>
      <w:r>
        <w:rPr>
          <w:rFonts w:hint="eastAsia" w:ascii="宋体" w:hAnsi="宋体" w:eastAsia="宋体" w:cs="宋体"/>
          <w:b w:val="0"/>
          <w:bCs w:val="0"/>
          <w:color w:val="auto"/>
          <w:sz w:val="28"/>
          <w:szCs w:val="28"/>
        </w:rPr>
        <w:t>。</w:t>
      </w:r>
    </w:p>
    <w:p w14:paraId="342BF9E1">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质量保修期</w:t>
      </w:r>
    </w:p>
    <w:p w14:paraId="0CE9B3F4">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质量保修期自</w:t>
      </w:r>
      <w:r>
        <w:rPr>
          <w:rFonts w:hint="eastAsia" w:ascii="宋体" w:hAnsi="宋体" w:cs="宋体"/>
          <w:b w:val="0"/>
          <w:bCs w:val="0"/>
          <w:color w:val="auto"/>
          <w:sz w:val="28"/>
          <w:szCs w:val="28"/>
          <w:lang w:val="en-US" w:eastAsia="zh-CN"/>
        </w:rPr>
        <w:t>竣工验收合格之日</w:t>
      </w:r>
      <w:r>
        <w:rPr>
          <w:rFonts w:hint="eastAsia" w:ascii="宋体" w:hAnsi="宋体" w:eastAsia="宋体" w:cs="宋体"/>
          <w:b w:val="0"/>
          <w:bCs w:val="0"/>
          <w:color w:val="auto"/>
          <w:sz w:val="28"/>
          <w:szCs w:val="28"/>
        </w:rPr>
        <w:t>起。分单项竣工验收的工程，按单项工程分别计算质量保修期。</w:t>
      </w:r>
    </w:p>
    <w:p w14:paraId="5874D94E">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双方根据《建设工程质量管理条例》及国家有关规定，结合具体工程约定质量保修期如下：</w:t>
      </w:r>
    </w:p>
    <w:p w14:paraId="71909A94">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基础、主体、结构部分：</w:t>
      </w:r>
      <w:r>
        <w:rPr>
          <w:rFonts w:hint="eastAsia" w:ascii="宋体" w:hAnsi="宋体" w:eastAsia="宋体" w:cs="宋体"/>
          <w:b w:val="0"/>
          <w:bCs w:val="0"/>
          <w:color w:val="auto"/>
          <w:sz w:val="28"/>
          <w:szCs w:val="28"/>
          <w:u w:val="single"/>
          <w:lang w:val="en-US" w:eastAsia="zh-CN"/>
        </w:rPr>
        <w:t xml:space="preserve">  50年    </w:t>
      </w:r>
      <w:r>
        <w:rPr>
          <w:rFonts w:hint="eastAsia" w:ascii="宋体" w:hAnsi="宋体" w:eastAsia="宋体" w:cs="宋体"/>
          <w:b w:val="0"/>
          <w:bCs w:val="0"/>
          <w:color w:val="auto"/>
          <w:sz w:val="28"/>
          <w:szCs w:val="28"/>
        </w:rPr>
        <w:t>。</w:t>
      </w:r>
    </w:p>
    <w:p w14:paraId="2A3BC841">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屋面防水工程、防水要求的卫生间、房间和外墙面防渗漏</w:t>
      </w:r>
      <w:r>
        <w:rPr>
          <w:rFonts w:hint="eastAsia" w:ascii="宋体" w:hAnsi="宋体" w:eastAsia="宋体" w:cs="宋体"/>
          <w:b w:val="0"/>
          <w:bCs w:val="0"/>
          <w:color w:val="auto"/>
          <w:sz w:val="28"/>
          <w:szCs w:val="28"/>
          <w:u w:val="single"/>
          <w:lang w:val="en-US" w:eastAsia="zh-CN"/>
        </w:rPr>
        <w:t>5</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eastAsia="zh-CN"/>
        </w:rPr>
        <w:t>年</w:t>
      </w:r>
      <w:r>
        <w:rPr>
          <w:rFonts w:hint="eastAsia" w:ascii="宋体" w:hAnsi="宋体" w:eastAsia="宋体" w:cs="宋体"/>
          <w:b w:val="0"/>
          <w:bCs w:val="0"/>
          <w:color w:val="auto"/>
          <w:sz w:val="28"/>
          <w:szCs w:val="28"/>
        </w:rPr>
        <w:t>；</w:t>
      </w:r>
    </w:p>
    <w:p w14:paraId="2CA8AAB4">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电气管线、上下水管线安装工程为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2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p>
    <w:p w14:paraId="13E664AF">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供热及供冷为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2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个采暖期及供冷期；</w:t>
      </w:r>
    </w:p>
    <w:p w14:paraId="32427EA8">
      <w:pPr>
        <w:numPr>
          <w:ilvl w:val="0"/>
          <w:numId w:val="11"/>
        </w:numPr>
        <w:tabs>
          <w:tab w:val="left" w:pos="900"/>
          <w:tab w:val="left" w:pos="1440"/>
        </w:tabs>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室外的上下水和小区道路等市政公用工程为</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cs="宋体"/>
          <w:b w:val="0"/>
          <w:bCs w:val="0"/>
          <w:color w:val="auto"/>
          <w:sz w:val="28"/>
          <w:szCs w:val="28"/>
          <w:u w:val="single"/>
          <w:lang w:val="en-US" w:eastAsia="zh-CN"/>
        </w:rPr>
        <w:t>2</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p>
    <w:p w14:paraId="1FAE0873">
      <w:pPr>
        <w:numPr>
          <w:ilvl w:val="0"/>
          <w:numId w:val="10"/>
        </w:num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质量保修责任</w:t>
      </w:r>
    </w:p>
    <w:p w14:paraId="6F113EA5">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1.属于保修范围和内容的项目，承包人应在接到修理通知之日后7天内派人修理。承包人不在约定期限内，派人修理，发包人可委托其他人员修理，保修费用从</w:t>
      </w:r>
      <w:r>
        <w:rPr>
          <w:rFonts w:hint="eastAsia" w:ascii="宋体" w:hAnsi="宋体" w:cs="宋体"/>
          <w:b w:val="0"/>
          <w:bCs w:val="0"/>
          <w:color w:val="auto"/>
          <w:sz w:val="28"/>
          <w:szCs w:val="28"/>
          <w:lang w:val="en-US" w:eastAsia="zh-CN"/>
        </w:rPr>
        <w:t>剩余工程款中</w:t>
      </w:r>
      <w:r>
        <w:rPr>
          <w:rFonts w:hint="eastAsia" w:ascii="宋体" w:hAnsi="宋体" w:eastAsia="宋体" w:cs="宋体"/>
          <w:b w:val="0"/>
          <w:bCs w:val="0"/>
          <w:color w:val="auto"/>
          <w:sz w:val="28"/>
          <w:szCs w:val="28"/>
        </w:rPr>
        <w:t>扣除。</w:t>
      </w:r>
    </w:p>
    <w:p w14:paraId="77FED2C0">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2.发生须紧急抢修事故(如上水跑水、暖气漏水漏气、燃气漏气等)，承包人接到事故通知后，应立即到达事故现场抢修。非承包人施工质量引起的事故，抢修费用由发包人承担。</w:t>
      </w:r>
    </w:p>
    <w:p w14:paraId="0D513EE2">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3.在国家规定的工程合理使用期限内，承包人确保地基基础工程和主体结构的质量。因承包人原因致使工程在合理使用期限内造成人身和财产损害的，承包人应承担损害赔偿责任。</w:t>
      </w:r>
    </w:p>
    <w:p w14:paraId="75B8ADDA">
      <w:pPr>
        <w:adjustRightInd w:val="0"/>
        <w:snapToGrid w:val="0"/>
        <w:spacing w:line="360" w:lineRule="auto"/>
        <w:ind w:right="-7" w:rightChars="-3" w:firstLine="490" w:firstLineChars="175"/>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4.质量保修完成后，由发包人组织验收。</w:t>
      </w:r>
    </w:p>
    <w:p w14:paraId="32A5008F">
      <w:pPr>
        <w:adjustRightInd w:val="0"/>
        <w:snapToGrid w:val="0"/>
        <w:spacing w:line="360" w:lineRule="auto"/>
        <w:ind w:right="-7" w:rightChars="-3"/>
        <w:rPr>
          <w:rFonts w:hint="eastAsia" w:ascii="宋体" w:hAnsi="宋体" w:eastAsia="宋体" w:cs="宋体"/>
          <w:b w:val="0"/>
          <w:bCs w:val="0"/>
          <w:color w:val="auto"/>
          <w:sz w:val="28"/>
          <w:szCs w:val="28"/>
        </w:rPr>
      </w:pPr>
    </w:p>
    <w:p w14:paraId="02922C78">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发  包  人(公章)：</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承  包  人(公章)：</w:t>
      </w:r>
      <w:r>
        <w:rPr>
          <w:rFonts w:hint="eastAsia" w:ascii="宋体" w:hAnsi="宋体" w:eastAsia="宋体" w:cs="宋体"/>
          <w:b w:val="0"/>
          <w:bCs w:val="0"/>
          <w:color w:val="auto"/>
          <w:sz w:val="28"/>
          <w:szCs w:val="28"/>
          <w:u w:val="single"/>
        </w:rPr>
        <w:t xml:space="preserve">               </w:t>
      </w:r>
    </w:p>
    <w:p w14:paraId="7C7FEB23">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法定代表人                      法定代表人</w:t>
      </w:r>
    </w:p>
    <w:p w14:paraId="5C4D483D">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或委托人(签字)：</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     或委托人(签字)：</w:t>
      </w:r>
      <w:r>
        <w:rPr>
          <w:rFonts w:hint="eastAsia" w:ascii="宋体" w:hAnsi="宋体" w:eastAsia="宋体" w:cs="宋体"/>
          <w:b w:val="0"/>
          <w:bCs w:val="0"/>
          <w:color w:val="auto"/>
          <w:sz w:val="28"/>
          <w:szCs w:val="28"/>
          <w:u w:val="single"/>
        </w:rPr>
        <w:t xml:space="preserve">            </w:t>
      </w:r>
    </w:p>
    <w:p w14:paraId="4BB23626">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 xml:space="preserve">日    </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b w:val="0"/>
          <w:bCs w:val="0"/>
          <w:color w:val="auto"/>
          <w:sz w:val="28"/>
          <w:szCs w:val="28"/>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rPr>
        <w:t>年</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月</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single"/>
        </w:rPr>
        <w:t xml:space="preserve"> </w:t>
      </w:r>
      <w:r>
        <w:rPr>
          <w:rFonts w:hint="eastAsia" w:ascii="宋体" w:hAnsi="宋体" w:eastAsia="宋体" w:cs="宋体"/>
          <w:b w:val="0"/>
          <w:bCs w:val="0"/>
          <w:color w:val="auto"/>
          <w:sz w:val="28"/>
          <w:szCs w:val="28"/>
        </w:rPr>
        <w:t>日</w:t>
      </w:r>
    </w:p>
    <w:p w14:paraId="1B43B2F6">
      <w:pPr>
        <w:numPr>
          <w:ilvl w:val="0"/>
          <w:numId w:val="0"/>
        </w:numPr>
        <w:spacing w:line="520" w:lineRule="exact"/>
        <w:ind w:leftChars="0"/>
        <w:contextualSpacing/>
        <w:jc w:val="both"/>
        <w:rPr>
          <w:rFonts w:hint="eastAsia" w:ascii="仿宋" w:hAnsi="仿宋" w:eastAsia="仿宋" w:cs="仿宋"/>
          <w:b w:val="0"/>
          <w:bCs w:val="0"/>
          <w:color w:val="auto"/>
          <w:sz w:val="32"/>
          <w:szCs w:val="32"/>
        </w:rPr>
      </w:pPr>
    </w:p>
    <w:p w14:paraId="1108F9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336AB">
    <w:pPr>
      <w:pStyle w:val="4"/>
      <w:ind w:right="360"/>
      <w:rPr>
        <w:rStyle w:val="8"/>
        <w:rFonts w:hint="eastAsia"/>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E57302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&#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3VQoz9IBAAClAwAADgAAAAAAAAABACAAAAAi&#10;AQAAZHJzL2Uyb0RvYy54bWxQSwUGAAAAAAYABgBZAQAAZgUAAAAA&#10;">
              <v:fill on="f" focussize="0,0"/>
              <v:stroke on="f" weight="1.25pt"/>
              <v:imagedata o:title=""/>
              <o:lock v:ext="edit" aspectratio="f"/>
              <v:textbox inset="0mm,0mm,0mm,0mm" style="mso-fit-shape-to-text:t;">
                <w:txbxContent>
                  <w:p w14:paraId="1E57302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89</w:t>
                    </w:r>
                    <w:r>
                      <w:fldChar w:fldCharType="end"/>
                    </w:r>
                    <w:r>
                      <w:t xml:space="preserve"> 页</w:t>
                    </w:r>
                  </w:p>
                </w:txbxContent>
              </v:textbox>
            </v:shape>
          </w:pict>
        </mc:Fallback>
      </mc:AlternateContent>
    </w:r>
  </w:p>
  <w:p w14:paraId="01C405D0"/>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52AD3"/>
    <w:multiLevelType w:val="multilevel"/>
    <w:tmpl w:val="00252AD3"/>
    <w:lvl w:ilvl="0" w:tentative="0">
      <w:start w:val="1"/>
      <w:numFmt w:val="chineseCountingThousand"/>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D5078F"/>
    <w:multiLevelType w:val="multilevel"/>
    <w:tmpl w:val="00D5078F"/>
    <w:lvl w:ilvl="0" w:tentative="0">
      <w:start w:val="1"/>
      <w:numFmt w:val="decimal"/>
      <w:lvlText w:val="(%1)"/>
      <w:lvlJc w:val="left"/>
      <w:pPr>
        <w:tabs>
          <w:tab w:val="left" w:pos="420"/>
        </w:tabs>
        <w:ind w:left="420" w:firstLine="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C2060C1"/>
    <w:multiLevelType w:val="multilevel"/>
    <w:tmpl w:val="0C2060C1"/>
    <w:lvl w:ilvl="0" w:tentative="0">
      <w:start w:val="1"/>
      <w:numFmt w:val="decimal"/>
      <w:lvlText w:val="(%1)"/>
      <w:lvlJc w:val="left"/>
      <w:pPr>
        <w:tabs>
          <w:tab w:val="left" w:pos="376"/>
        </w:tabs>
        <w:ind w:left="376" w:firstLine="0"/>
      </w:pPr>
      <w:rPr>
        <w:rFonts w:hint="eastAsia"/>
      </w:rPr>
    </w:lvl>
    <w:lvl w:ilvl="1" w:tentative="0">
      <w:start w:val="1"/>
      <w:numFmt w:val="decimal"/>
      <w:lvlText w:val="(%2)"/>
      <w:lvlJc w:val="left"/>
      <w:pPr>
        <w:tabs>
          <w:tab w:val="left" w:pos="1156"/>
        </w:tabs>
        <w:ind w:left="1156" w:hanging="360"/>
      </w:pPr>
      <w:rPr>
        <w:rFonts w:hint="default"/>
        <w:u w:val="none"/>
      </w:rPr>
    </w:lvl>
    <w:lvl w:ilvl="2" w:tentative="0">
      <w:start w:val="1"/>
      <w:numFmt w:val="lowerRoman"/>
      <w:lvlText w:val="%3."/>
      <w:lvlJc w:val="right"/>
      <w:pPr>
        <w:tabs>
          <w:tab w:val="left" w:pos="1636"/>
        </w:tabs>
        <w:ind w:left="1636" w:hanging="420"/>
      </w:pPr>
    </w:lvl>
    <w:lvl w:ilvl="3" w:tentative="0">
      <w:start w:val="1"/>
      <w:numFmt w:val="decimal"/>
      <w:lvlText w:val="%4."/>
      <w:lvlJc w:val="left"/>
      <w:pPr>
        <w:tabs>
          <w:tab w:val="left" w:pos="2056"/>
        </w:tabs>
        <w:ind w:left="2056" w:hanging="420"/>
      </w:pPr>
    </w:lvl>
    <w:lvl w:ilvl="4" w:tentative="0">
      <w:start w:val="1"/>
      <w:numFmt w:val="lowerLetter"/>
      <w:lvlText w:val="%5)"/>
      <w:lvlJc w:val="left"/>
      <w:pPr>
        <w:tabs>
          <w:tab w:val="left" w:pos="2476"/>
        </w:tabs>
        <w:ind w:left="2476" w:hanging="420"/>
      </w:pPr>
    </w:lvl>
    <w:lvl w:ilvl="5" w:tentative="0">
      <w:start w:val="1"/>
      <w:numFmt w:val="lowerRoman"/>
      <w:lvlText w:val="%6."/>
      <w:lvlJc w:val="right"/>
      <w:pPr>
        <w:tabs>
          <w:tab w:val="left" w:pos="2896"/>
        </w:tabs>
        <w:ind w:left="2896" w:hanging="420"/>
      </w:pPr>
    </w:lvl>
    <w:lvl w:ilvl="6" w:tentative="0">
      <w:start w:val="1"/>
      <w:numFmt w:val="decimal"/>
      <w:lvlText w:val="%7."/>
      <w:lvlJc w:val="left"/>
      <w:pPr>
        <w:tabs>
          <w:tab w:val="left" w:pos="3316"/>
        </w:tabs>
        <w:ind w:left="3316" w:hanging="420"/>
      </w:pPr>
    </w:lvl>
    <w:lvl w:ilvl="7" w:tentative="0">
      <w:start w:val="1"/>
      <w:numFmt w:val="lowerLetter"/>
      <w:lvlText w:val="%8)"/>
      <w:lvlJc w:val="left"/>
      <w:pPr>
        <w:tabs>
          <w:tab w:val="left" w:pos="3736"/>
        </w:tabs>
        <w:ind w:left="3736" w:hanging="420"/>
      </w:pPr>
    </w:lvl>
    <w:lvl w:ilvl="8" w:tentative="0">
      <w:start w:val="1"/>
      <w:numFmt w:val="lowerRoman"/>
      <w:lvlText w:val="%9."/>
      <w:lvlJc w:val="right"/>
      <w:pPr>
        <w:tabs>
          <w:tab w:val="left" w:pos="4156"/>
        </w:tabs>
        <w:ind w:left="4156" w:hanging="420"/>
      </w:pPr>
    </w:lvl>
  </w:abstractNum>
  <w:abstractNum w:abstractNumId="3">
    <w:nsid w:val="1ECD6574"/>
    <w:multiLevelType w:val="multilevel"/>
    <w:tmpl w:val="1ECD6574"/>
    <w:lvl w:ilvl="0" w:tentative="0">
      <w:start w:val="1"/>
      <w:numFmt w:val="decimal"/>
      <w:lvlText w:val="(%1)"/>
      <w:lvlJc w:val="left"/>
      <w:pPr>
        <w:tabs>
          <w:tab w:val="left" w:pos="560"/>
        </w:tabs>
        <w:ind w:left="560" w:firstLine="0"/>
      </w:pPr>
      <w:rPr>
        <w:rFonts w:hint="eastAsia"/>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4">
    <w:nsid w:val="1F6113E6"/>
    <w:multiLevelType w:val="multilevel"/>
    <w:tmpl w:val="1F6113E6"/>
    <w:lvl w:ilvl="0" w:tentative="0">
      <w:start w:val="1"/>
      <w:numFmt w:val="decimal"/>
      <w:lvlText w:val="%1）"/>
      <w:lvlJc w:val="left"/>
      <w:pPr>
        <w:tabs>
          <w:tab w:val="left" w:pos="840"/>
        </w:tabs>
        <w:ind w:left="840" w:hanging="360"/>
      </w:pPr>
      <w:rPr>
        <w:rFonts w:hint="eastAsia"/>
      </w:rPr>
    </w:lvl>
    <w:lvl w:ilvl="1" w:tentative="0">
      <w:start w:val="1"/>
      <w:numFmt w:val="decimal"/>
      <w:lvlText w:val="%2、"/>
      <w:lvlJc w:val="left"/>
      <w:pPr>
        <w:tabs>
          <w:tab w:val="left" w:pos="1260"/>
        </w:tabs>
        <w:ind w:left="1260" w:hanging="360"/>
      </w:pPr>
      <w:rPr>
        <w:rFonts w:hint="eastAsia"/>
      </w:rPr>
    </w:lvl>
    <w:lvl w:ilvl="2" w:tentative="0">
      <w:start w:val="1"/>
      <w:numFmt w:val="decimal"/>
      <w:lvlText w:val="(%3)"/>
      <w:lvlJc w:val="left"/>
      <w:pPr>
        <w:tabs>
          <w:tab w:val="left" w:pos="1320"/>
        </w:tabs>
        <w:ind w:left="1320" w:firstLine="0"/>
      </w:pPr>
      <w:rPr>
        <w:rFonts w:hint="eastAsia"/>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25C23853"/>
    <w:multiLevelType w:val="multilevel"/>
    <w:tmpl w:val="25C23853"/>
    <w:lvl w:ilvl="0" w:tentative="0">
      <w:start w:val="1"/>
      <w:numFmt w:val="decimal"/>
      <w:lvlText w:val="(%1)"/>
      <w:lvlJc w:val="left"/>
      <w:pPr>
        <w:tabs>
          <w:tab w:val="left" w:pos="0"/>
        </w:tabs>
        <w:ind w:left="0" w:firstLine="0"/>
      </w:pPr>
      <w:rPr>
        <w:rFonts w:hint="eastAsia"/>
      </w:rPr>
    </w:lvl>
    <w:lvl w:ilvl="1" w:tentative="0">
      <w:start w:val="1"/>
      <w:numFmt w:val="decimal"/>
      <w:lvlText w:val="(%2)"/>
      <w:lvlJc w:val="left"/>
      <w:pPr>
        <w:tabs>
          <w:tab w:val="left" w:pos="420"/>
        </w:tabs>
        <w:ind w:left="420" w:firstLine="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2586090"/>
    <w:multiLevelType w:val="multilevel"/>
    <w:tmpl w:val="42586090"/>
    <w:lvl w:ilvl="0" w:tentative="0">
      <w:start w:val="1"/>
      <w:numFmt w:val="decimal"/>
      <w:lvlText w:val="%1、"/>
      <w:lvlJc w:val="left"/>
      <w:pPr>
        <w:tabs>
          <w:tab w:val="left" w:pos="420"/>
        </w:tabs>
        <w:ind w:left="420" w:firstLine="0"/>
      </w:pPr>
      <w:rPr>
        <w:rFonts w:ascii="宋体" w:hAnsi="宋体" w:eastAsia="宋体" w:cs="宋体"/>
      </w:rPr>
    </w:lvl>
    <w:lvl w:ilvl="1" w:tentative="0">
      <w:start w:val="1"/>
      <w:numFmt w:val="lowerLetter"/>
      <w:lvlText w:val="%2)"/>
      <w:lvlJc w:val="left"/>
      <w:pPr>
        <w:tabs>
          <w:tab w:val="left" w:pos="1480"/>
        </w:tabs>
        <w:ind w:left="1480" w:hanging="420"/>
      </w:pPr>
    </w:lvl>
    <w:lvl w:ilvl="2" w:tentative="0">
      <w:start w:val="1"/>
      <w:numFmt w:val="lowerRoman"/>
      <w:lvlText w:val="%3."/>
      <w:lvlJc w:val="right"/>
      <w:pPr>
        <w:tabs>
          <w:tab w:val="left" w:pos="1900"/>
        </w:tabs>
        <w:ind w:left="1900" w:hanging="420"/>
      </w:pPr>
    </w:lvl>
    <w:lvl w:ilvl="3" w:tentative="0">
      <w:start w:val="1"/>
      <w:numFmt w:val="decimal"/>
      <w:lvlText w:val="%4."/>
      <w:lvlJc w:val="left"/>
      <w:pPr>
        <w:tabs>
          <w:tab w:val="left" w:pos="2320"/>
        </w:tabs>
        <w:ind w:left="2320" w:hanging="420"/>
      </w:pPr>
    </w:lvl>
    <w:lvl w:ilvl="4" w:tentative="0">
      <w:start w:val="1"/>
      <w:numFmt w:val="lowerLetter"/>
      <w:lvlText w:val="%5)"/>
      <w:lvlJc w:val="left"/>
      <w:pPr>
        <w:tabs>
          <w:tab w:val="left" w:pos="2740"/>
        </w:tabs>
        <w:ind w:left="2740" w:hanging="420"/>
      </w:pPr>
    </w:lvl>
    <w:lvl w:ilvl="5" w:tentative="0">
      <w:start w:val="1"/>
      <w:numFmt w:val="lowerRoman"/>
      <w:lvlText w:val="%6."/>
      <w:lvlJc w:val="right"/>
      <w:pPr>
        <w:tabs>
          <w:tab w:val="left" w:pos="3160"/>
        </w:tabs>
        <w:ind w:left="3160" w:hanging="420"/>
      </w:pPr>
    </w:lvl>
    <w:lvl w:ilvl="6" w:tentative="0">
      <w:start w:val="1"/>
      <w:numFmt w:val="decimal"/>
      <w:lvlText w:val="%7."/>
      <w:lvlJc w:val="left"/>
      <w:pPr>
        <w:tabs>
          <w:tab w:val="left" w:pos="3580"/>
        </w:tabs>
        <w:ind w:left="3580" w:hanging="420"/>
      </w:pPr>
    </w:lvl>
    <w:lvl w:ilvl="7" w:tentative="0">
      <w:start w:val="1"/>
      <w:numFmt w:val="lowerLetter"/>
      <w:lvlText w:val="%8)"/>
      <w:lvlJc w:val="left"/>
      <w:pPr>
        <w:tabs>
          <w:tab w:val="left" w:pos="4000"/>
        </w:tabs>
        <w:ind w:left="4000" w:hanging="420"/>
      </w:pPr>
    </w:lvl>
    <w:lvl w:ilvl="8" w:tentative="0">
      <w:start w:val="1"/>
      <w:numFmt w:val="lowerRoman"/>
      <w:lvlText w:val="%9."/>
      <w:lvlJc w:val="right"/>
      <w:pPr>
        <w:tabs>
          <w:tab w:val="left" w:pos="4420"/>
        </w:tabs>
        <w:ind w:left="4420" w:hanging="420"/>
      </w:pPr>
    </w:lvl>
  </w:abstractNum>
  <w:abstractNum w:abstractNumId="7">
    <w:nsid w:val="45297F53"/>
    <w:multiLevelType w:val="multilevel"/>
    <w:tmpl w:val="45297F53"/>
    <w:lvl w:ilvl="0" w:tentative="0">
      <w:start w:val="2"/>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739EB1FD"/>
    <w:multiLevelType w:val="singleLevel"/>
    <w:tmpl w:val="739EB1FD"/>
    <w:lvl w:ilvl="0" w:tentative="0">
      <w:start w:val="2"/>
      <w:numFmt w:val="chineseCounting"/>
      <w:suff w:val="space"/>
      <w:lvlText w:val="第%1节"/>
      <w:lvlJc w:val="left"/>
      <w:rPr>
        <w:rFonts w:hint="eastAsia"/>
      </w:rPr>
    </w:lvl>
  </w:abstractNum>
  <w:abstractNum w:abstractNumId="9">
    <w:nsid w:val="75550458"/>
    <w:multiLevelType w:val="multilevel"/>
    <w:tmpl w:val="75550458"/>
    <w:lvl w:ilvl="0" w:tentative="0">
      <w:start w:val="1"/>
      <w:numFmt w:val="chineseCountingThousand"/>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AA55623"/>
    <w:multiLevelType w:val="multilevel"/>
    <w:tmpl w:val="7AA55623"/>
    <w:lvl w:ilvl="0" w:tentative="0">
      <w:start w:val="1"/>
      <w:numFmt w:val="decimal"/>
      <w:lvlText w:val="%1)"/>
      <w:lvlJc w:val="left"/>
      <w:pPr>
        <w:tabs>
          <w:tab w:val="left" w:pos="420"/>
        </w:tabs>
        <w:ind w:left="42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4"/>
  </w:num>
  <w:num w:numId="3">
    <w:abstractNumId w:val="8"/>
  </w:num>
  <w:num w:numId="4">
    <w:abstractNumId w:val="0"/>
  </w:num>
  <w:num w:numId="5">
    <w:abstractNumId w:val="1"/>
  </w:num>
  <w:num w:numId="6">
    <w:abstractNumId w:val="2"/>
  </w:num>
  <w:num w:numId="7">
    <w:abstractNumId w:val="3"/>
  </w:num>
  <w:num w:numId="8">
    <w:abstractNumId w:val="5"/>
  </w:num>
  <w:num w:numId="9">
    <w:abstractNumId w:val="10"/>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80095"/>
    <w:rsid w:val="156212C5"/>
    <w:rsid w:val="15B04351"/>
    <w:rsid w:val="2242710D"/>
    <w:rsid w:val="2E291B4B"/>
    <w:rsid w:val="6A9F7DB8"/>
    <w:rsid w:val="6FF80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Times New Roman"/>
      <w:sz w:val="21"/>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Body Text Indent 3"/>
    <w:basedOn w:val="1"/>
    <w:qFormat/>
    <w:uiPriority w:val="0"/>
    <w:pPr>
      <w:spacing w:line="440" w:lineRule="exact"/>
      <w:ind w:firstLine="480" w:firstLineChars="200"/>
    </w:pPr>
    <w:rPr>
      <w:rFonts w:ascii="宋体" w:hAnsi="宋体" w:cs="Times New Roman"/>
      <w:color w:val="000000"/>
      <w:szCs w:val="24"/>
    </w:rPr>
  </w:style>
  <w:style w:type="character" w:styleId="8">
    <w:name w:val="page number"/>
    <w:basedOn w:val="7"/>
    <w:qFormat/>
    <w:uiPriority w:val="0"/>
  </w:style>
  <w:style w:type="paragraph" w:customStyle="1" w:styleId="9">
    <w:name w:val="Blockquote"/>
    <w:basedOn w:val="1"/>
    <w:qFormat/>
    <w:uiPriority w:val="0"/>
    <w:pPr>
      <w:autoSpaceDE w:val="0"/>
      <w:autoSpaceDN w:val="0"/>
      <w:adjustRightInd w:val="0"/>
      <w:spacing w:before="100" w:beforeLines="0" w:after="100" w:afterLines="0"/>
      <w:ind w:left="360" w:right="360"/>
      <w:jc w:val="left"/>
    </w:pPr>
    <w:rPr>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10322</Words>
  <Characters>10628</Characters>
  <Lines>0</Lines>
  <Paragraphs>0</Paragraphs>
  <TotalTime>2</TotalTime>
  <ScaleCrop>false</ScaleCrop>
  <LinksUpToDate>false</LinksUpToDate>
  <CharactersWithSpaces>11585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2025-09-18T03:57:00Z</dcterms:created>
  <dc:creator>可乐</dc:creator>
  <cp:lastModifiedBy>可乐</cp:lastModifiedBy>
  <dcterms:modified xsi:type="dcterms:W3CDTF">2026-03-26T01:21:08Z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59AEEE2417734B27971B497A0A4E38CD_13</vt:lpwstr>
  </property>
  <property fmtid="{D5CDD505-2E9C-101B-9397-08002B2CF9AE}" pid="4" name="KSOTemplateDocerSaveRecord">
    <vt:lpwstr>eyJoZGlkIjoiYTlkYzhjYjExZTZiOTU4YWFkMDUyOTdkYjg4ZTRjYTAiLCJ1c2VySWQiOiIzNjgxODUwMzYifQ==</vt:lpwstr>
  </property>
</Properties>
</file>