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版本号：HRC-ZBDL-2026-0024220260309001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大荔县沙苑国有林场2025年度省级林业草原改革发展资金森林草原防火补助项目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HRC-ZBDL-2026-00242</w:t>
      </w:r>
      <w:r>
        <w:br/>
      </w:r>
      <w:r>
        <w:br/>
      </w:r>
      <w:r>
        <w:br/>
      </w:r>
    </w:p>
    <w:p>
      <w:pPr>
        <w:pStyle w:val="null3"/>
        <w:jc w:val="center"/>
        <w:outlineLvl w:val="2"/>
      </w:pPr>
      <w:r>
        <w:rPr>
          <w:rFonts w:ascii="仿宋_GB2312" w:hAnsi="仿宋_GB2312" w:cs="仿宋_GB2312" w:eastAsia="仿宋_GB2312"/>
          <w:sz w:val="28"/>
          <w:b/>
        </w:rPr>
        <w:t>大荔县林业局</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大荔县林业局</w:t>
      </w:r>
      <w:r>
        <w:rPr>
          <w:rFonts w:ascii="仿宋_GB2312" w:hAnsi="仿宋_GB2312" w:cs="仿宋_GB2312" w:eastAsia="仿宋_GB2312"/>
        </w:rPr>
        <w:t>委托，拟对</w:t>
      </w:r>
      <w:r>
        <w:rPr>
          <w:rFonts w:ascii="仿宋_GB2312" w:hAnsi="仿宋_GB2312" w:cs="仿宋_GB2312" w:eastAsia="仿宋_GB2312"/>
        </w:rPr>
        <w:t>大荔县沙苑国有林场2025年度省级林业草原改革发展资金森林草原防火补助项目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HRC-ZBDL-2026-00242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大荔县沙苑国有林场2025年度省级林业草原改革发展资金森林草原防火补助项目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建设内容主要包括森林草原防火监测、宣传教育、可燃物清理和开设隔离带等。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采购包1（大荔县沙苑国有林场2025年度省级林业草原改革发展资金森林草原防火补助项目）：属于专门面向中小企业采购。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1、法定代表人授权书：法定代表人授权代表参加的，须出具授权书（附法定代表人、被授权人身份证复印 件）及授权人在本单位证明（提供开标前三个月内在本单位的社保缴纳记录），法 定代表人参加投标只需提供本人身份证；</w:t>
      </w:r>
    </w:p>
    <w:p>
      <w:pPr>
        <w:pStyle w:val="null3"/>
      </w:pPr>
      <w:r>
        <w:rPr>
          <w:rFonts w:ascii="仿宋_GB2312" w:hAnsi="仿宋_GB2312" w:cs="仿宋_GB2312" w:eastAsia="仿宋_GB2312"/>
        </w:rPr>
        <w:t>2、信誉要求：信誉要求：投标人不得为“信用中国”网站（www.creditchina.gov.cn）中列入失 信被执行人和重大税收违法案件当事人名单的投标人，不得为中国政府采购网（w ww.ccgp.gov.cn）政府采购严重违法失信行为记录名单中被财政部门禁止参加政 府采购活动的投标人（处罚决定规定的时间和地域范围内）</w:t>
      </w:r>
    </w:p>
    <w:p>
      <w:pPr>
        <w:pStyle w:val="null3"/>
      </w:pPr>
      <w:r>
        <w:rPr>
          <w:rFonts w:ascii="仿宋_GB2312" w:hAnsi="仿宋_GB2312" w:cs="仿宋_GB2312" w:eastAsia="仿宋_GB2312"/>
        </w:rPr>
        <w:t>3、中小企业声明函：提供中小企业声明函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陕西省大荔县南关路2号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15399312333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华睿诚项目管理有限公司大荔项目部（大荔县雅轩汤泉酒店北20米）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0913-3581777/15191338837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及《国家发改委关于降低部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大荔县林业局</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验收方案：1、由采购人代表、中标单位、使用部门代表等组成，人数为3人以上单数。职责分工：采购人代表负责组织协调；中标单位联合验收；使用部门代表负责货物使用功能验收。 2、验收依据 政府采购服务项目的采购文件、中标（成交）供应商的响应文件、双方签订的政府采购合同 国家、行业相关的服务标准、规范 3、验收流程 供应商在服务完成后，向采购人提交验收申请及服务交付相关资料 采购人收到申请后 5 个工作日内组织验收小组开展验收 验收小组按照验收标准核查服务完成情况，形成验收记录 验收合格的，出具《政府采购服务项目验收报告》；验收不合格的，出具整改通知书，明确整改要求与时限，整改后重新验收 4、验收标准 服务内容：是否完全覆盖采购文件及合同约定的全部服务事项 服务质量：是否符合约定的服务标准、技术要求，是否达到预期效果 服务交付资料：是否齐全、规范，符合档案管理要求 5、争议处理 验收过程中出现争议的，验收小组可组织会商，或委托第三方机构进行复核，相关费用由责任方承担 对验收结果存在异议的，可按照政府采购相关法规及合同约定的途径申诉 6、验收公示 采购人应在采购项目履约验收完成后7个工作日内完成公示信息整理，并在陕西省政府采购网进行公示。</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联系人：宋英</w:t>
      </w:r>
    </w:p>
    <w:p>
      <w:pPr>
        <w:pStyle w:val="null3"/>
      </w:pPr>
      <w:r>
        <w:rPr>
          <w:rFonts w:ascii="仿宋_GB2312" w:hAnsi="仿宋_GB2312" w:cs="仿宋_GB2312" w:eastAsia="仿宋_GB2312"/>
        </w:rPr>
        <w:t>联系电话：0913-3581777</w:t>
      </w:r>
    </w:p>
    <w:p>
      <w:pPr>
        <w:pStyle w:val="null3"/>
      </w:pPr>
      <w:r>
        <w:rPr>
          <w:rFonts w:ascii="仿宋_GB2312" w:hAnsi="仿宋_GB2312" w:cs="仿宋_GB2312" w:eastAsia="仿宋_GB2312"/>
        </w:rPr>
        <w:t>地址：华睿诚项目管理有限公司大荔项目部（大荔县雅轩汤泉酒店北20米）</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通过防火物资采购、宣传教育强化、防火预防措施处置等举措，全面提升防火综合水平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860,000.00</w:t>
      </w:r>
    </w:p>
    <w:p>
      <w:pPr>
        <w:pStyle w:val="null3"/>
      </w:pPr>
      <w:r>
        <w:rPr>
          <w:rFonts w:ascii="仿宋_GB2312" w:hAnsi="仿宋_GB2312" w:cs="仿宋_GB2312" w:eastAsia="仿宋_GB2312"/>
        </w:rPr>
        <w:t>采购包最高限价（元）: 860,000.00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林下可燃物清理及防火分离带建设等服务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标的名称：林下可燃物清理及防火分离带建设等服务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6"/>
              <w:gridCol w:w="715"/>
              <w:gridCol w:w="249"/>
              <w:gridCol w:w="228"/>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防火预防措施</w:t>
                  </w:r>
                </w:p>
              </w:tc>
              <w:tc>
                <w:tcPr>
                  <w:tcW w:type="dxa" w:w="71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林下可燃物清理</w:t>
                  </w:r>
                  <w:r>
                    <w:rPr>
                      <w:rFonts w:ascii="仿宋_GB2312" w:hAnsi="仿宋_GB2312" w:cs="仿宋_GB2312" w:eastAsia="仿宋_GB2312"/>
                      <w:sz w:val="21"/>
                      <w:color w:val="000000"/>
                    </w:rPr>
                    <w:t>(要求至少2人在作业地驻扎，直至验收审计通过，用打草机对荒草进行清除)</w:t>
                  </w:r>
                </w:p>
              </w:tc>
              <w:tc>
                <w:tcPr>
                  <w:tcW w:type="dxa" w:w="24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亩</w:t>
                  </w:r>
                </w:p>
              </w:tc>
              <w:tc>
                <w:tcPr>
                  <w:tcW w:type="dxa" w:w="22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防火隔离带</w:t>
                  </w:r>
                  <w:r>
                    <w:rPr>
                      <w:rFonts w:ascii="仿宋_GB2312" w:hAnsi="仿宋_GB2312" w:cs="仿宋_GB2312" w:eastAsia="仿宋_GB2312"/>
                      <w:sz w:val="21"/>
                      <w:color w:val="000000"/>
                    </w:rPr>
                    <w:t>（</w:t>
                  </w:r>
                  <w:r>
                    <w:rPr>
                      <w:rFonts w:ascii="仿宋_GB2312" w:hAnsi="仿宋_GB2312" w:cs="仿宋_GB2312" w:eastAsia="仿宋_GB2312"/>
                      <w:sz w:val="21"/>
                      <w:color w:val="000000"/>
                    </w:rPr>
                    <w:t>宽度：</w:t>
                  </w:r>
                  <w:r>
                    <w:rPr>
                      <w:rFonts w:ascii="仿宋_GB2312" w:hAnsi="仿宋_GB2312" w:cs="仿宋_GB2312" w:eastAsia="仿宋_GB2312"/>
                      <w:sz w:val="21"/>
                      <w:color w:val="000000"/>
                    </w:rPr>
                    <w:t>20m</w:t>
                  </w:r>
                  <w:r>
                    <w:rPr>
                      <w:rFonts w:ascii="仿宋_GB2312" w:hAnsi="仿宋_GB2312" w:cs="仿宋_GB2312" w:eastAsia="仿宋_GB2312"/>
                      <w:sz w:val="21"/>
                      <w:color w:val="000000"/>
                    </w:rPr>
                    <w:t>）</w:t>
                  </w: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平方米</w:t>
                  </w:r>
                </w:p>
              </w:tc>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6"/>
              <w:gridCol w:w="715"/>
              <w:gridCol w:w="249"/>
              <w:gridCol w:w="228"/>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防火宣传</w:t>
                  </w:r>
                </w:p>
              </w:tc>
              <w:tc>
                <w:tcPr>
                  <w:tcW w:type="dxa" w:w="71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广告牌铁皮</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方钢钢架</w:t>
                  </w:r>
                  <w:r>
                    <w:rPr>
                      <w:rFonts w:ascii="仿宋_GB2312" w:hAnsi="仿宋_GB2312" w:cs="仿宋_GB2312" w:eastAsia="仿宋_GB2312"/>
                      <w:sz w:val="21"/>
                      <w:color w:val="000000"/>
                    </w:rPr>
                    <w:t>25m²）</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方钢柱子</w:t>
                  </w:r>
                  <w:r>
                    <w:rPr>
                      <w:rFonts w:ascii="仿宋_GB2312" w:hAnsi="仿宋_GB2312" w:cs="仿宋_GB2312" w:eastAsia="仿宋_GB2312"/>
                      <w:sz w:val="21"/>
                      <w:color w:val="000000"/>
                    </w:rPr>
                    <w:t>3个</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挖坑混凝土</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其他辅料</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防火宣传彩页</w:t>
                  </w:r>
                </w:p>
                <w:p>
                  <w:pPr>
                    <w:pStyle w:val="null3"/>
                    <w:jc w:val="both"/>
                  </w:pPr>
                  <w:r>
                    <w:rPr>
                      <w:rFonts w:ascii="仿宋_GB2312" w:hAnsi="仿宋_GB2312" w:cs="仿宋_GB2312" w:eastAsia="仿宋_GB2312"/>
                      <w:sz w:val="21"/>
                      <w:color w:val="000000"/>
                    </w:rPr>
                    <w:t>1.铜版纸双面：单页重量≥200g</w:t>
                  </w:r>
                  <w:r>
                    <w:br/>
                  </w:r>
                  <w:r>
                    <w:rPr>
                      <w:rFonts w:ascii="仿宋_GB2312" w:hAnsi="仿宋_GB2312" w:cs="仿宋_GB2312" w:eastAsia="仿宋_GB2312"/>
                      <w:sz w:val="21"/>
                      <w:color w:val="000000"/>
                    </w:rPr>
                    <w:t>2.尺寸：21cm×28.5cm</w:t>
                  </w: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份</w:t>
                  </w:r>
                </w:p>
              </w:tc>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20000</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防火宣传册</w:t>
                  </w:r>
                </w:p>
                <w:p>
                  <w:pPr>
                    <w:pStyle w:val="null3"/>
                    <w:jc w:val="both"/>
                  </w:pPr>
                  <w:r>
                    <w:rPr>
                      <w:rFonts w:ascii="仿宋_GB2312" w:hAnsi="仿宋_GB2312" w:cs="仿宋_GB2312" w:eastAsia="仿宋_GB2312"/>
                      <w:sz w:val="21"/>
                      <w:color w:val="000000"/>
                    </w:rPr>
                    <w:t>1.封面：单页重量≥250g</w:t>
                  </w:r>
                  <w:r>
                    <w:br/>
                  </w:r>
                  <w:r>
                    <w:rPr>
                      <w:rFonts w:ascii="仿宋_GB2312" w:hAnsi="仿宋_GB2312" w:cs="仿宋_GB2312" w:eastAsia="仿宋_GB2312"/>
                      <w:sz w:val="21"/>
                      <w:color w:val="000000"/>
                    </w:rPr>
                    <w:t>2.内页：单页重量≥157g</w:t>
                  </w:r>
                  <w:r>
                    <w:br/>
                  </w:r>
                  <w:r>
                    <w:rPr>
                      <w:rFonts w:ascii="仿宋_GB2312" w:hAnsi="仿宋_GB2312" w:cs="仿宋_GB2312" w:eastAsia="仿宋_GB2312"/>
                      <w:sz w:val="21"/>
                      <w:color w:val="000000"/>
                    </w:rPr>
                    <w:t>3.铜版纸：每本≥16页</w:t>
                  </w: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防火宣传纸杯</w:t>
                  </w:r>
                </w:p>
                <w:p>
                  <w:pPr>
                    <w:pStyle w:val="null3"/>
                    <w:jc w:val="both"/>
                  </w:pPr>
                  <w:r>
                    <w:rPr>
                      <w:rFonts w:ascii="仿宋_GB2312" w:hAnsi="仿宋_GB2312" w:cs="仿宋_GB2312" w:eastAsia="仿宋_GB2312"/>
                      <w:sz w:val="21"/>
                      <w:color w:val="000000"/>
                    </w:rPr>
                    <w:t>1.纸质食品级≥9盎司（280g）</w:t>
                  </w: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50000</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防火宣传围裙</w:t>
                  </w:r>
                </w:p>
                <w:p>
                  <w:pPr>
                    <w:pStyle w:val="null3"/>
                    <w:jc w:val="both"/>
                  </w:pPr>
                  <w:r>
                    <w:rPr>
                      <w:rFonts w:ascii="仿宋_GB2312" w:hAnsi="仿宋_GB2312" w:cs="仿宋_GB2312" w:eastAsia="仿宋_GB2312"/>
                      <w:sz w:val="21"/>
                      <w:color w:val="000000"/>
                    </w:rPr>
                    <w:t>1.无纺布，印森林防火宣传logo</w:t>
                  </w: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防火宣传袋子</w:t>
                  </w:r>
                </w:p>
                <w:p>
                  <w:pPr>
                    <w:pStyle w:val="null3"/>
                    <w:jc w:val="both"/>
                  </w:pPr>
                  <w:r>
                    <w:rPr>
                      <w:rFonts w:ascii="仿宋_GB2312" w:hAnsi="仿宋_GB2312" w:cs="仿宋_GB2312" w:eastAsia="仿宋_GB2312"/>
                      <w:sz w:val="21"/>
                      <w:color w:val="000000"/>
                    </w:rPr>
                    <w:t>1.尺寸：27*32*8cm</w:t>
                  </w:r>
                  <w:r>
                    <w:br/>
                  </w:r>
                  <w:r>
                    <w:rPr>
                      <w:rFonts w:ascii="仿宋_GB2312" w:hAnsi="仿宋_GB2312" w:cs="仿宋_GB2312" w:eastAsia="仿宋_GB2312"/>
                      <w:sz w:val="21"/>
                      <w:color w:val="000000"/>
                    </w:rPr>
                    <w:t>2.材质：无纺布</w:t>
                  </w: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防火宣传毛巾</w:t>
                  </w:r>
                </w:p>
                <w:p>
                  <w:pPr>
                    <w:pStyle w:val="null3"/>
                    <w:jc w:val="both"/>
                  </w:pPr>
                  <w:r>
                    <w:rPr>
                      <w:rFonts w:ascii="仿宋_GB2312" w:hAnsi="仿宋_GB2312" w:cs="仿宋_GB2312" w:eastAsia="仿宋_GB2312"/>
                      <w:sz w:val="21"/>
                      <w:color w:val="000000"/>
                    </w:rPr>
                    <w:t>1.尺寸：30cm*30cm</w:t>
                  </w:r>
                  <w:r>
                    <w:br/>
                  </w:r>
                  <w:r>
                    <w:rPr>
                      <w:rFonts w:ascii="仿宋_GB2312" w:hAnsi="仿宋_GB2312" w:cs="仿宋_GB2312" w:eastAsia="仿宋_GB2312"/>
                      <w:sz w:val="21"/>
                      <w:color w:val="000000"/>
                    </w:rPr>
                    <w:t>2.材质：超细纤维</w:t>
                  </w: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防火宣传抱枕</w:t>
                  </w:r>
                </w:p>
                <w:p>
                  <w:pPr>
                    <w:pStyle w:val="null3"/>
                    <w:jc w:val="both"/>
                  </w:pPr>
                  <w:r>
                    <w:rPr>
                      <w:rFonts w:ascii="仿宋_GB2312" w:hAnsi="仿宋_GB2312" w:cs="仿宋_GB2312" w:eastAsia="仿宋_GB2312"/>
                      <w:sz w:val="21"/>
                      <w:color w:val="000000"/>
                    </w:rPr>
                    <w:t>1.尺寸：方枕40cm*40cm</w:t>
                  </w:r>
                </w:p>
                <w:p>
                  <w:pPr>
                    <w:pStyle w:val="null3"/>
                    <w:jc w:val="both"/>
                  </w:pPr>
                  <w:r>
                    <w:rPr>
                      <w:rFonts w:ascii="仿宋_GB2312" w:hAnsi="仿宋_GB2312" w:cs="仿宋_GB2312" w:eastAsia="仿宋_GB2312"/>
                      <w:sz w:val="21"/>
                      <w:color w:val="000000"/>
                    </w:rPr>
                    <w:t>2.材质：高档帆布（含枕芯）</w:t>
                  </w: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防火宣传视频和音频制</w:t>
                  </w:r>
                  <w:r>
                    <w:rPr>
                      <w:rFonts w:ascii="仿宋_GB2312" w:hAnsi="仿宋_GB2312" w:cs="仿宋_GB2312" w:eastAsia="仿宋_GB2312"/>
                      <w:sz w:val="21"/>
                      <w:color w:val="000000"/>
                    </w:rPr>
                    <w:t>（</w:t>
                  </w:r>
                  <w:r>
                    <w:rPr>
                      <w:rFonts w:ascii="仿宋_GB2312" w:hAnsi="仿宋_GB2312" w:cs="仿宋_GB2312" w:eastAsia="仿宋_GB2312"/>
                      <w:sz w:val="21"/>
                      <w:color w:val="000000"/>
                    </w:rPr>
                    <w:t>每条视频及音频时长：</w:t>
                  </w:r>
                  <w:r>
                    <w:rPr>
                      <w:rFonts w:ascii="仿宋_GB2312" w:hAnsi="仿宋_GB2312" w:cs="仿宋_GB2312" w:eastAsia="仿宋_GB2312"/>
                      <w:sz w:val="21"/>
                      <w:color w:val="000000"/>
                    </w:rPr>
                    <w:t>2-3分钟围绕防火宣传，制作通俗易懂的视频，分辨率：1920×1080</w:t>
                  </w:r>
                  <w:r>
                    <w:rPr>
                      <w:rFonts w:ascii="仿宋_GB2312" w:hAnsi="仿宋_GB2312" w:cs="仿宋_GB2312" w:eastAsia="仿宋_GB2312"/>
                      <w:sz w:val="21"/>
                      <w:color w:val="000000"/>
                    </w:rPr>
                    <w:t>）</w:t>
                  </w: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森林防火语音警示柱</w:t>
                  </w:r>
                  <w:r>
                    <w:rPr>
                      <w:rFonts w:ascii="仿宋_GB2312" w:hAnsi="仿宋_GB2312" w:cs="仿宋_GB2312" w:eastAsia="仿宋_GB2312"/>
                      <w:sz w:val="21"/>
                      <w:color w:val="000000"/>
                    </w:rPr>
                    <w:t>（</w:t>
                  </w:r>
                  <w:r>
                    <w:rPr>
                      <w:rFonts w:ascii="仿宋_GB2312" w:hAnsi="仿宋_GB2312" w:cs="仿宋_GB2312" w:eastAsia="仿宋_GB2312"/>
                      <w:sz w:val="21"/>
                      <w:color w:val="000000"/>
                    </w:rPr>
                    <w:t>20w太阳能板，2.9m立杆，蓝牙连接</w:t>
                  </w:r>
                  <w:r>
                    <w:rPr>
                      <w:rFonts w:ascii="仿宋_GB2312" w:hAnsi="仿宋_GB2312" w:cs="仿宋_GB2312" w:eastAsia="仿宋_GB2312"/>
                      <w:sz w:val="21"/>
                      <w:color w:val="000000"/>
                    </w:rPr>
                    <w:t>）</w:t>
                  </w: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6"/>
              <w:gridCol w:w="715"/>
              <w:gridCol w:w="249"/>
              <w:gridCol w:w="228"/>
            </w:tblGrid>
            <w:tr>
              <w:tc>
                <w:tcPr>
                  <w:tcW w:type="dxa" w:w="18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森林防火监测预警</w:t>
                  </w:r>
                </w:p>
              </w:tc>
              <w:tc>
                <w:tcPr>
                  <w:tcW w:type="dxa" w:w="71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无人机（含电池</w:t>
                  </w:r>
                  <w:r>
                    <w:rPr>
                      <w:rFonts w:ascii="仿宋_GB2312" w:hAnsi="仿宋_GB2312" w:cs="仿宋_GB2312" w:eastAsia="仿宋_GB2312"/>
                      <w:sz w:val="21"/>
                      <w:color w:val="000000"/>
                    </w:rPr>
                    <w:t>*6+喊话器+探照灯）</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主机飞行平台</w:t>
                  </w:r>
                </w:p>
                <w:p>
                  <w:pPr>
                    <w:pStyle w:val="null3"/>
                    <w:jc w:val="left"/>
                  </w:pPr>
                  <w:r>
                    <w:rPr>
                      <w:rFonts w:ascii="仿宋_GB2312" w:hAnsi="仿宋_GB2312" w:cs="仿宋_GB2312" w:eastAsia="仿宋_GB2312"/>
                      <w:sz w:val="21"/>
                    </w:rPr>
                    <w:t>最大起飞重量：</w:t>
                  </w:r>
                  <w:r>
                    <w:rPr>
                      <w:rFonts w:ascii="仿宋_GB2312" w:hAnsi="仿宋_GB2312" w:cs="仿宋_GB2312" w:eastAsia="仿宋_GB2312"/>
                      <w:sz w:val="21"/>
                    </w:rPr>
                    <w:t>≤3000g；</w:t>
                  </w:r>
                </w:p>
                <w:p>
                  <w:pPr>
                    <w:pStyle w:val="null3"/>
                    <w:jc w:val="left"/>
                  </w:pPr>
                  <w:r>
                    <w:rPr>
                      <w:rFonts w:ascii="仿宋_GB2312" w:hAnsi="仿宋_GB2312" w:cs="仿宋_GB2312" w:eastAsia="仿宋_GB2312"/>
                      <w:sz w:val="21"/>
                    </w:rPr>
                    <w:t>最大上升速度：</w:t>
                  </w:r>
                  <w:r>
                    <w:rPr>
                      <w:rFonts w:ascii="仿宋_GB2312" w:hAnsi="仿宋_GB2312" w:cs="仿宋_GB2312" w:eastAsia="仿宋_GB2312"/>
                      <w:sz w:val="21"/>
                    </w:rPr>
                    <w:t>≥8米／秒</w:t>
                  </w:r>
                </w:p>
                <w:p>
                  <w:pPr>
                    <w:pStyle w:val="null3"/>
                    <w:jc w:val="left"/>
                  </w:pPr>
                  <w:r>
                    <w:rPr>
                      <w:rFonts w:ascii="仿宋_GB2312" w:hAnsi="仿宋_GB2312" w:cs="仿宋_GB2312" w:eastAsia="仿宋_GB2312"/>
                      <w:sz w:val="21"/>
                    </w:rPr>
                    <w:t>最大下降速度：</w:t>
                  </w:r>
                  <w:r>
                    <w:rPr>
                      <w:rFonts w:ascii="仿宋_GB2312" w:hAnsi="仿宋_GB2312" w:cs="仿宋_GB2312" w:eastAsia="仿宋_GB2312"/>
                      <w:sz w:val="21"/>
                    </w:rPr>
                    <w:t>≥5米／秒</w:t>
                  </w:r>
                </w:p>
                <w:p>
                  <w:pPr>
                    <w:pStyle w:val="null3"/>
                    <w:jc w:val="left"/>
                  </w:pPr>
                  <w:r>
                    <w:rPr>
                      <w:rFonts w:ascii="仿宋_GB2312" w:hAnsi="仿宋_GB2312" w:cs="仿宋_GB2312" w:eastAsia="仿宋_GB2312"/>
                      <w:sz w:val="21"/>
                    </w:rPr>
                    <w:t>最大水平飞行速度：</w:t>
                  </w:r>
                  <w:r>
                    <w:rPr>
                      <w:rFonts w:ascii="仿宋_GB2312" w:hAnsi="仿宋_GB2312" w:cs="仿宋_GB2312" w:eastAsia="仿宋_GB2312"/>
                      <w:sz w:val="21"/>
                    </w:rPr>
                    <w:t>≥12米／秒</w:t>
                  </w:r>
                </w:p>
                <w:p>
                  <w:pPr>
                    <w:pStyle w:val="null3"/>
                    <w:jc w:val="left"/>
                  </w:pPr>
                  <w:r>
                    <w:rPr>
                      <w:rFonts w:ascii="仿宋_GB2312" w:hAnsi="仿宋_GB2312" w:cs="仿宋_GB2312" w:eastAsia="仿宋_GB2312"/>
                      <w:sz w:val="21"/>
                    </w:rPr>
                    <w:t>最长飞行时间：</w:t>
                  </w:r>
                  <w:r>
                    <w:rPr>
                      <w:rFonts w:ascii="仿宋_GB2312" w:hAnsi="仿宋_GB2312" w:cs="仿宋_GB2312" w:eastAsia="仿宋_GB2312"/>
                      <w:sz w:val="21"/>
                    </w:rPr>
                    <w:t>≥40分钟</w:t>
                  </w:r>
                </w:p>
                <w:p>
                  <w:pPr>
                    <w:pStyle w:val="null3"/>
                    <w:jc w:val="left"/>
                  </w:pPr>
                  <w:r>
                    <w:rPr>
                      <w:rFonts w:ascii="仿宋_GB2312" w:hAnsi="仿宋_GB2312" w:cs="仿宋_GB2312" w:eastAsia="仿宋_GB2312"/>
                      <w:sz w:val="21"/>
                    </w:rPr>
                    <w:t>最长悬停时间：</w:t>
                  </w:r>
                  <w:r>
                    <w:rPr>
                      <w:rFonts w:ascii="仿宋_GB2312" w:hAnsi="仿宋_GB2312" w:cs="仿宋_GB2312" w:eastAsia="仿宋_GB2312"/>
                      <w:sz w:val="21"/>
                    </w:rPr>
                    <w:t>≥30分钟</w:t>
                  </w:r>
                </w:p>
                <w:p>
                  <w:pPr>
                    <w:pStyle w:val="null3"/>
                    <w:jc w:val="left"/>
                  </w:pPr>
                  <w:r>
                    <w:rPr>
                      <w:rFonts w:ascii="仿宋_GB2312" w:hAnsi="仿宋_GB2312" w:cs="仿宋_GB2312" w:eastAsia="仿宋_GB2312"/>
                      <w:sz w:val="21"/>
                    </w:rPr>
                    <w:t>最大续航里程：</w:t>
                  </w:r>
                  <w:r>
                    <w:rPr>
                      <w:rFonts w:ascii="仿宋_GB2312" w:hAnsi="仿宋_GB2312" w:cs="仿宋_GB2312" w:eastAsia="仿宋_GB2312"/>
                      <w:sz w:val="21"/>
                    </w:rPr>
                    <w:t>≥10公里</w:t>
                  </w:r>
                </w:p>
                <w:p>
                  <w:pPr>
                    <w:pStyle w:val="null3"/>
                    <w:jc w:val="left"/>
                  </w:pPr>
                  <w:r>
                    <w:rPr>
                      <w:rFonts w:ascii="仿宋_GB2312" w:hAnsi="仿宋_GB2312" w:cs="仿宋_GB2312" w:eastAsia="仿宋_GB2312"/>
                      <w:sz w:val="21"/>
                    </w:rPr>
                    <w:t>最大抗风速度：</w:t>
                  </w:r>
                  <w:r>
                    <w:rPr>
                      <w:rFonts w:ascii="仿宋_GB2312" w:hAnsi="仿宋_GB2312" w:cs="仿宋_GB2312" w:eastAsia="仿宋_GB2312"/>
                      <w:sz w:val="21"/>
                    </w:rPr>
                    <w:t>≥10米／秒（5级风）</w:t>
                  </w:r>
                </w:p>
                <w:p>
                  <w:pPr>
                    <w:pStyle w:val="null3"/>
                    <w:jc w:val="left"/>
                  </w:pPr>
                  <w:r>
                    <w:rPr>
                      <w:rFonts w:ascii="仿宋_GB2312" w:hAnsi="仿宋_GB2312" w:cs="仿宋_GB2312" w:eastAsia="仿宋_GB2312"/>
                      <w:sz w:val="21"/>
                    </w:rPr>
                    <w:t>相机：支持热成像功能，广角相机，变焦相机；</w:t>
                  </w:r>
                </w:p>
                <w:p>
                  <w:pPr>
                    <w:pStyle w:val="null3"/>
                    <w:jc w:val="left"/>
                  </w:pPr>
                  <w:r>
                    <w:rPr>
                      <w:rFonts w:ascii="仿宋_GB2312" w:hAnsi="仿宋_GB2312" w:cs="仿宋_GB2312" w:eastAsia="仿宋_GB2312"/>
                      <w:sz w:val="21"/>
                    </w:rPr>
                    <w:t>热成像相机分辨率</w:t>
                  </w:r>
                  <w:r>
                    <w:rPr>
                      <w:rFonts w:ascii="仿宋_GB2312" w:hAnsi="仿宋_GB2312" w:cs="仿宋_GB2312" w:eastAsia="仿宋_GB2312"/>
                      <w:sz w:val="21"/>
                    </w:rPr>
                    <w:t>：</w:t>
                  </w:r>
                  <w:r>
                    <w:rPr>
                      <w:rFonts w:ascii="仿宋_GB2312" w:hAnsi="仿宋_GB2312" w:cs="仿宋_GB2312" w:eastAsia="仿宋_GB2312"/>
                      <w:sz w:val="21"/>
                    </w:rPr>
                    <w:t>≥640*512像素；</w:t>
                  </w:r>
                </w:p>
                <w:p>
                  <w:pPr>
                    <w:pStyle w:val="null3"/>
                    <w:jc w:val="left"/>
                  </w:pPr>
                  <w:r>
                    <w:rPr>
                      <w:rFonts w:ascii="仿宋_GB2312" w:hAnsi="仿宋_GB2312" w:cs="仿宋_GB2312" w:eastAsia="仿宋_GB2312"/>
                      <w:sz w:val="21"/>
                    </w:rPr>
                    <w:t>测温方式：点测温、区域测温；</w:t>
                  </w:r>
                </w:p>
                <w:p>
                  <w:pPr>
                    <w:pStyle w:val="null3"/>
                    <w:jc w:val="left"/>
                  </w:pPr>
                  <w:r>
                    <w:rPr>
                      <w:rFonts w:ascii="仿宋_GB2312" w:hAnsi="仿宋_GB2312" w:cs="仿宋_GB2312" w:eastAsia="仿宋_GB2312"/>
                      <w:sz w:val="21"/>
                    </w:rPr>
                    <w:t>工作环境温度：</w:t>
                  </w:r>
                  <w:r>
                    <w:rPr>
                      <w:rFonts w:ascii="仿宋_GB2312" w:hAnsi="仿宋_GB2312" w:cs="仿宋_GB2312" w:eastAsia="仿宋_GB2312"/>
                      <w:sz w:val="21"/>
                    </w:rPr>
                    <w:t>-10℃至40℃；</w:t>
                  </w:r>
                </w:p>
                <w:p>
                  <w:pPr>
                    <w:pStyle w:val="null3"/>
                    <w:jc w:val="left"/>
                  </w:pPr>
                  <w:r>
                    <w:rPr>
                      <w:rFonts w:ascii="仿宋_GB2312" w:hAnsi="仿宋_GB2312" w:cs="仿宋_GB2312" w:eastAsia="仿宋_GB2312"/>
                      <w:sz w:val="21"/>
                    </w:rPr>
                    <w:t>避障系统：具有前、后、下三向及以上感知能力；</w:t>
                  </w:r>
                </w:p>
                <w:p>
                  <w:pPr>
                    <w:pStyle w:val="null3"/>
                    <w:jc w:val="left"/>
                  </w:pPr>
                  <w:r>
                    <w:rPr>
                      <w:rFonts w:ascii="仿宋_GB2312" w:hAnsi="仿宋_GB2312" w:cs="仿宋_GB2312" w:eastAsia="仿宋_GB2312"/>
                      <w:sz w:val="21"/>
                    </w:rPr>
                    <w:t>为无人机提供不小于一年一定保障额度内因产品意外损坏所产生的维修服务或置</w:t>
                  </w:r>
                </w:p>
                <w:p>
                  <w:pPr>
                    <w:pStyle w:val="null3"/>
                    <w:jc w:val="left"/>
                  </w:pPr>
                  <w:r>
                    <w:rPr>
                      <w:rFonts w:ascii="仿宋_GB2312" w:hAnsi="仿宋_GB2312" w:cs="仿宋_GB2312" w:eastAsia="仿宋_GB2312"/>
                      <w:sz w:val="21"/>
                    </w:rPr>
                    <w:t>换服务；</w:t>
                  </w:r>
                </w:p>
                <w:p>
                  <w:pPr>
                    <w:pStyle w:val="null3"/>
                    <w:jc w:val="left"/>
                  </w:pPr>
                  <w:r>
                    <w:rPr>
                      <w:rFonts w:ascii="仿宋_GB2312" w:hAnsi="仿宋_GB2312" w:cs="仿宋_GB2312" w:eastAsia="仿宋_GB2312"/>
                      <w:sz w:val="21"/>
                    </w:rPr>
                    <w:t>服务使用：服务应提供保障额度内不限次数的免费维修或置换服务，直至保障额</w:t>
                  </w:r>
                </w:p>
                <w:p>
                  <w:pPr>
                    <w:pStyle w:val="null3"/>
                    <w:jc w:val="left"/>
                  </w:pPr>
                  <w:r>
                    <w:rPr>
                      <w:rFonts w:ascii="仿宋_GB2312" w:hAnsi="仿宋_GB2312" w:cs="仿宋_GB2312" w:eastAsia="仿宋_GB2312"/>
                      <w:sz w:val="21"/>
                    </w:rPr>
                    <w:t>度用完或保障期限到期，无须垫付维修或置换费用。</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无人机电池</w:t>
                  </w:r>
                  <w:r>
                    <w:rPr>
                      <w:rFonts w:ascii="仿宋_GB2312" w:hAnsi="仿宋_GB2312" w:cs="仿宋_GB2312" w:eastAsia="仿宋_GB2312"/>
                      <w:sz w:val="21"/>
                      <w:color w:val="000000"/>
                    </w:rPr>
                    <w:t>*6</w:t>
                  </w:r>
                </w:p>
                <w:p>
                  <w:pPr>
                    <w:pStyle w:val="null3"/>
                    <w:jc w:val="left"/>
                  </w:pPr>
                  <w:r>
                    <w:rPr>
                      <w:rFonts w:ascii="仿宋_GB2312" w:hAnsi="仿宋_GB2312" w:cs="仿宋_GB2312" w:eastAsia="仿宋_GB2312"/>
                      <w:sz w:val="21"/>
                    </w:rPr>
                    <w:t>容量：＞</w:t>
                  </w:r>
                  <w:r>
                    <w:rPr>
                      <w:rFonts w:ascii="仿宋_GB2312" w:hAnsi="仿宋_GB2312" w:cs="仿宋_GB2312" w:eastAsia="仿宋_GB2312"/>
                      <w:sz w:val="21"/>
                    </w:rPr>
                    <w:t>6000mAh；</w:t>
                  </w:r>
                </w:p>
                <w:p>
                  <w:pPr>
                    <w:pStyle w:val="null3"/>
                    <w:jc w:val="left"/>
                  </w:pPr>
                  <w:r>
                    <w:rPr>
                      <w:rFonts w:ascii="仿宋_GB2312" w:hAnsi="仿宋_GB2312" w:cs="仿宋_GB2312" w:eastAsia="仿宋_GB2312"/>
                      <w:sz w:val="21"/>
                    </w:rPr>
                    <w:t>能量：</w:t>
                  </w:r>
                  <w:r>
                    <w:rPr>
                      <w:rFonts w:ascii="仿宋_GB2312" w:hAnsi="仿宋_GB2312" w:cs="仿宋_GB2312" w:eastAsia="仿宋_GB2312"/>
                      <w:sz w:val="21"/>
                    </w:rPr>
                    <w:t>≥80瓦时；</w:t>
                  </w:r>
                </w:p>
                <w:p>
                  <w:pPr>
                    <w:pStyle w:val="null3"/>
                    <w:jc w:val="left"/>
                  </w:pPr>
                  <w:r>
                    <w:rPr>
                      <w:rFonts w:ascii="仿宋_GB2312" w:hAnsi="仿宋_GB2312" w:cs="仿宋_GB2312" w:eastAsia="仿宋_GB2312"/>
                      <w:sz w:val="21"/>
                    </w:rPr>
                    <w:t>充电环境温度：</w:t>
                  </w:r>
                  <w:r>
                    <w:rPr>
                      <w:rFonts w:ascii="仿宋_GB2312" w:hAnsi="仿宋_GB2312" w:cs="仿宋_GB2312" w:eastAsia="仿宋_GB2312"/>
                      <w:sz w:val="21"/>
                    </w:rPr>
                    <w:t>5℃至40℃；</w:t>
                  </w:r>
                </w:p>
                <w:p>
                  <w:pPr>
                    <w:pStyle w:val="null3"/>
                    <w:jc w:val="left"/>
                  </w:pPr>
                  <w:r>
                    <w:rPr>
                      <w:rFonts w:ascii="仿宋_GB2312" w:hAnsi="仿宋_GB2312" w:cs="仿宋_GB2312" w:eastAsia="仿宋_GB2312"/>
                      <w:sz w:val="21"/>
                    </w:rPr>
                    <w:t>循环次数：</w:t>
                  </w:r>
                  <w:r>
                    <w:rPr>
                      <w:rFonts w:ascii="仿宋_GB2312" w:hAnsi="仿宋_GB2312" w:cs="仿宋_GB2312" w:eastAsia="仿宋_GB2312"/>
                      <w:sz w:val="21"/>
                    </w:rPr>
                    <w:t>≥200；</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机载喊话器</w:t>
                  </w:r>
                </w:p>
                <w:p>
                  <w:pPr>
                    <w:pStyle w:val="null3"/>
                    <w:jc w:val="left"/>
                  </w:pPr>
                  <w:r>
                    <w:rPr>
                      <w:rFonts w:ascii="仿宋_GB2312" w:hAnsi="仿宋_GB2312" w:cs="仿宋_GB2312" w:eastAsia="仿宋_GB2312"/>
                      <w:sz w:val="21"/>
                    </w:rPr>
                    <w:t>重量：</w:t>
                  </w:r>
                  <w:r>
                    <w:rPr>
                      <w:rFonts w:ascii="仿宋_GB2312" w:hAnsi="仿宋_GB2312" w:cs="仿宋_GB2312" w:eastAsia="仿宋_GB2312"/>
                      <w:sz w:val="21"/>
                    </w:rPr>
                    <w:t>≤92.5克（含支架）；</w:t>
                  </w:r>
                </w:p>
                <w:p>
                  <w:pPr>
                    <w:pStyle w:val="null3"/>
                    <w:jc w:val="left"/>
                  </w:pPr>
                  <w:r>
                    <w:rPr>
                      <w:rFonts w:ascii="仿宋_GB2312" w:hAnsi="仿宋_GB2312" w:cs="仿宋_GB2312" w:eastAsia="仿宋_GB2312"/>
                      <w:sz w:val="21"/>
                    </w:rPr>
                    <w:t>功率：</w:t>
                  </w:r>
                  <w:r>
                    <w:rPr>
                      <w:rFonts w:ascii="仿宋_GB2312" w:hAnsi="仿宋_GB2312" w:cs="仿宋_GB2312" w:eastAsia="仿宋_GB2312"/>
                      <w:sz w:val="21"/>
                    </w:rPr>
                    <w:t>≥15瓦</w:t>
                  </w:r>
                </w:p>
                <w:p>
                  <w:pPr>
                    <w:pStyle w:val="null3"/>
                    <w:jc w:val="left"/>
                  </w:pPr>
                  <w:r>
                    <w:rPr>
                      <w:rFonts w:ascii="仿宋_GB2312" w:hAnsi="仿宋_GB2312" w:cs="仿宋_GB2312" w:eastAsia="仿宋_GB2312"/>
                      <w:sz w:val="21"/>
                    </w:rPr>
                    <w:t>最大响度：在</w:t>
                  </w:r>
                  <w:r>
                    <w:rPr>
                      <w:rFonts w:ascii="仿宋_GB2312" w:hAnsi="仿宋_GB2312" w:cs="仿宋_GB2312" w:eastAsia="仿宋_GB2312"/>
                      <w:sz w:val="21"/>
                    </w:rPr>
                    <w:t>1米处≥114分贝;</w:t>
                  </w:r>
                </w:p>
                <w:p>
                  <w:pPr>
                    <w:pStyle w:val="null3"/>
                    <w:jc w:val="left"/>
                  </w:pPr>
                  <w:r>
                    <w:rPr>
                      <w:rFonts w:ascii="仿宋_GB2312" w:hAnsi="仿宋_GB2312" w:cs="仿宋_GB2312" w:eastAsia="仿宋_GB2312"/>
                      <w:sz w:val="21"/>
                    </w:rPr>
                    <w:t>有效广播距离：</w:t>
                  </w:r>
                  <w:r>
                    <w:rPr>
                      <w:rFonts w:ascii="仿宋_GB2312" w:hAnsi="仿宋_GB2312" w:cs="仿宋_GB2312" w:eastAsia="仿宋_GB2312"/>
                      <w:sz w:val="21"/>
                    </w:rPr>
                    <w:t>≥300米；</w:t>
                  </w:r>
                </w:p>
                <w:p>
                  <w:pPr>
                    <w:pStyle w:val="null3"/>
                    <w:jc w:val="left"/>
                  </w:pPr>
                  <w:r>
                    <w:rPr>
                      <w:rFonts w:ascii="仿宋_GB2312" w:hAnsi="仿宋_GB2312" w:cs="仿宋_GB2312" w:eastAsia="仿宋_GB2312"/>
                      <w:sz w:val="21"/>
                    </w:rPr>
                    <w:t>广播方式：实时喊话</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工作环境温度：</w:t>
                  </w:r>
                  <w:r>
                    <w:rPr>
                      <w:rFonts w:ascii="仿宋_GB2312" w:hAnsi="仿宋_GB2312" w:cs="仿宋_GB2312" w:eastAsia="仿宋_GB2312"/>
                      <w:sz w:val="21"/>
                    </w:rPr>
                    <w:t>-20℃至50℃</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机载探照灯</w:t>
                  </w:r>
                </w:p>
                <w:p>
                  <w:pPr>
                    <w:pStyle w:val="null3"/>
                    <w:jc w:val="left"/>
                  </w:pPr>
                  <w:r>
                    <w:rPr>
                      <w:rFonts w:ascii="仿宋_GB2312" w:hAnsi="仿宋_GB2312" w:cs="仿宋_GB2312" w:eastAsia="仿宋_GB2312"/>
                      <w:sz w:val="21"/>
                    </w:rPr>
                    <w:t>重量：</w:t>
                  </w:r>
                  <w:r>
                    <w:rPr>
                      <w:rFonts w:ascii="仿宋_GB2312" w:hAnsi="仿宋_GB2312" w:cs="仿宋_GB2312" w:eastAsia="仿宋_GB2312"/>
                      <w:sz w:val="21"/>
                    </w:rPr>
                    <w:t>≤99克（含支架）</w:t>
                  </w:r>
                </w:p>
                <w:p>
                  <w:pPr>
                    <w:pStyle w:val="null3"/>
                    <w:jc w:val="left"/>
                  </w:pPr>
                  <w:r>
                    <w:rPr>
                      <w:rFonts w:ascii="仿宋_GB2312" w:hAnsi="仿宋_GB2312" w:cs="仿宋_GB2312" w:eastAsia="仿宋_GB2312"/>
                      <w:sz w:val="21"/>
                    </w:rPr>
                    <w:t>功率：</w:t>
                  </w:r>
                  <w:r>
                    <w:rPr>
                      <w:rFonts w:ascii="仿宋_GB2312" w:hAnsi="仿宋_GB2312" w:cs="仿宋_GB2312" w:eastAsia="仿宋_GB2312"/>
                      <w:sz w:val="21"/>
                    </w:rPr>
                    <w:t>≥32瓦</w:t>
                  </w:r>
                </w:p>
                <w:p>
                  <w:pPr>
                    <w:pStyle w:val="null3"/>
                    <w:jc w:val="left"/>
                  </w:pPr>
                  <w:r>
                    <w:rPr>
                      <w:rFonts w:ascii="仿宋_GB2312" w:hAnsi="仿宋_GB2312" w:cs="仿宋_GB2312" w:eastAsia="仿宋_GB2312"/>
                      <w:sz w:val="21"/>
                    </w:rPr>
                    <w:t>工作方式：常亮或爆闪；</w:t>
                  </w:r>
                </w:p>
                <w:p>
                  <w:pPr>
                    <w:pStyle w:val="null3"/>
                    <w:jc w:val="left"/>
                  </w:pPr>
                  <w:r>
                    <w:rPr>
                      <w:rFonts w:ascii="仿宋_GB2312" w:hAnsi="仿宋_GB2312" w:cs="仿宋_GB2312" w:eastAsia="仿宋_GB2312"/>
                      <w:sz w:val="21"/>
                    </w:rPr>
                    <w:t>接口类型：</w:t>
                  </w:r>
                  <w:r>
                    <w:rPr>
                      <w:rFonts w:ascii="仿宋_GB2312" w:hAnsi="仿宋_GB2312" w:cs="仿宋_GB2312" w:eastAsia="仿宋_GB2312"/>
                      <w:sz w:val="21"/>
                    </w:rPr>
                    <w:t>Type-C;</w:t>
                  </w:r>
                </w:p>
                <w:p>
                  <w:pPr>
                    <w:pStyle w:val="null3"/>
                    <w:jc w:val="left"/>
                  </w:pPr>
                  <w:r>
                    <w:rPr>
                      <w:rFonts w:ascii="仿宋_GB2312" w:hAnsi="仿宋_GB2312" w:cs="仿宋_GB2312" w:eastAsia="仿宋_GB2312"/>
                      <w:sz w:val="21"/>
                    </w:rPr>
                    <w:t>工作环境温度：</w:t>
                  </w:r>
                  <w:r>
                    <w:rPr>
                      <w:rFonts w:ascii="仿宋_GB2312" w:hAnsi="仿宋_GB2312" w:cs="仿宋_GB2312" w:eastAsia="仿宋_GB2312"/>
                      <w:sz w:val="21"/>
                    </w:rPr>
                    <w:t>-20℃至50℃</w:t>
                  </w:r>
                </w:p>
                <w:p>
                  <w:pPr>
                    <w:pStyle w:val="null3"/>
                    <w:jc w:val="left"/>
                  </w:pPr>
                  <w:r>
                    <w:rPr>
                      <w:rFonts w:ascii="仿宋_GB2312" w:hAnsi="仿宋_GB2312" w:cs="仿宋_GB2312" w:eastAsia="仿宋_GB2312"/>
                      <w:sz w:val="21"/>
                    </w:rPr>
                    <w:t>5、建模软件</w:t>
                  </w:r>
                </w:p>
                <w:p>
                  <w:pPr>
                    <w:pStyle w:val="null3"/>
                    <w:jc w:val="left"/>
                  </w:pPr>
                  <w:r>
                    <w:rPr>
                      <w:rFonts w:ascii="仿宋_GB2312" w:hAnsi="仿宋_GB2312" w:cs="仿宋_GB2312" w:eastAsia="仿宋_GB2312"/>
                      <w:sz w:val="21"/>
                    </w:rPr>
                    <w:t>可支持高斯泼溅</w:t>
                  </w:r>
                </w:p>
                <w:p>
                  <w:pPr>
                    <w:pStyle w:val="null3"/>
                    <w:jc w:val="left"/>
                  </w:pPr>
                  <w:r>
                    <w:rPr>
                      <w:rFonts w:ascii="仿宋_GB2312" w:hAnsi="仿宋_GB2312" w:cs="仿宋_GB2312" w:eastAsia="仿宋_GB2312"/>
                      <w:sz w:val="21"/>
                    </w:rPr>
                    <w:t>支持可见光二维三维建模</w:t>
                  </w:r>
                </w:p>
                <w:p>
                  <w:pPr>
                    <w:pStyle w:val="null3"/>
                    <w:jc w:val="left"/>
                  </w:pPr>
                  <w:r>
                    <w:rPr>
                      <w:rFonts w:ascii="仿宋_GB2312" w:hAnsi="仿宋_GB2312" w:cs="仿宋_GB2312" w:eastAsia="仿宋_GB2312"/>
                      <w:sz w:val="21"/>
                    </w:rPr>
                    <w:t>支持激光雷达点云建模</w:t>
                  </w:r>
                </w:p>
                <w:p>
                  <w:pPr>
                    <w:pStyle w:val="null3"/>
                    <w:jc w:val="left"/>
                  </w:pPr>
                  <w:r>
                    <w:rPr>
                      <w:rFonts w:ascii="仿宋_GB2312" w:hAnsi="仿宋_GB2312" w:cs="仿宋_GB2312" w:eastAsia="仿宋_GB2312"/>
                      <w:sz w:val="21"/>
                    </w:rPr>
                    <w:t>支持城市级超大复杂场景重建</w:t>
                  </w:r>
                </w:p>
                <w:p>
                  <w:pPr>
                    <w:pStyle w:val="null3"/>
                    <w:jc w:val="left"/>
                  </w:pPr>
                  <w:r>
                    <w:rPr>
                      <w:rFonts w:ascii="仿宋_GB2312" w:hAnsi="仿宋_GB2312" w:cs="仿宋_GB2312" w:eastAsia="仿宋_GB2312"/>
                      <w:sz w:val="21"/>
                    </w:rPr>
                    <w:t>支持大规模场景重建</w:t>
                  </w:r>
                </w:p>
                <w:p>
                  <w:pPr>
                    <w:pStyle w:val="null3"/>
                    <w:jc w:val="left"/>
                  </w:pPr>
                  <w:r>
                    <w:rPr>
                      <w:rFonts w:ascii="仿宋_GB2312" w:hAnsi="仿宋_GB2312" w:cs="仿宋_GB2312" w:eastAsia="仿宋_GB2312"/>
                      <w:sz w:val="21"/>
                    </w:rPr>
                    <w:t>6、无人机管理系统</w:t>
                  </w:r>
                </w:p>
                <w:p>
                  <w:pPr>
                    <w:pStyle w:val="null3"/>
                    <w:jc w:val="left"/>
                  </w:pPr>
                  <w:r>
                    <w:rPr>
                      <w:rFonts w:ascii="仿宋_GB2312" w:hAnsi="仿宋_GB2312" w:cs="仿宋_GB2312" w:eastAsia="仿宋_GB2312"/>
                      <w:sz w:val="21"/>
                    </w:rPr>
                    <w:t>支持电脑网页版、安卓设备</w:t>
                  </w:r>
                  <w:r>
                    <w:rPr>
                      <w:rFonts w:ascii="仿宋_GB2312" w:hAnsi="仿宋_GB2312" w:cs="仿宋_GB2312" w:eastAsia="仿宋_GB2312"/>
                      <w:sz w:val="21"/>
                    </w:rPr>
                    <w:t>APP、微信小程序三种终端使用</w:t>
                  </w:r>
                </w:p>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AI算法</w:t>
                  </w:r>
                </w:p>
                <w:p>
                  <w:pPr>
                    <w:pStyle w:val="null3"/>
                    <w:jc w:val="left"/>
                  </w:pPr>
                  <w:r>
                    <w:rPr>
                      <w:rFonts w:ascii="仿宋_GB2312" w:hAnsi="仿宋_GB2312" w:cs="仿宋_GB2312" w:eastAsia="仿宋_GB2312"/>
                      <w:sz w:val="21"/>
                    </w:rPr>
                    <w:t>支持通过系统制定日常任务及临时飞行航线</w:t>
                  </w:r>
                </w:p>
                <w:p>
                  <w:pPr>
                    <w:pStyle w:val="null3"/>
                    <w:jc w:val="left"/>
                  </w:pPr>
                  <w:r>
                    <w:rPr>
                      <w:rFonts w:ascii="仿宋_GB2312" w:hAnsi="仿宋_GB2312" w:cs="仿宋_GB2312" w:eastAsia="仿宋_GB2312"/>
                      <w:sz w:val="21"/>
                    </w:rPr>
                    <w:t>支持私有化部署</w:t>
                  </w:r>
                </w:p>
              </w:tc>
              <w:tc>
                <w:tcPr>
                  <w:tcW w:type="dxa" w:w="24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红外摄像头</w:t>
                  </w:r>
                </w:p>
                <w:p>
                  <w:pPr>
                    <w:pStyle w:val="null3"/>
                    <w:jc w:val="left"/>
                  </w:pPr>
                  <w:r>
                    <w:rPr>
                      <w:rFonts w:ascii="仿宋_GB2312" w:hAnsi="仿宋_GB2312" w:cs="仿宋_GB2312" w:eastAsia="仿宋_GB2312"/>
                      <w:sz w:val="21"/>
                      <w:color w:val="000000"/>
                    </w:rPr>
                    <w:t>稳定系统</w:t>
                  </w:r>
                  <w:r>
                    <w:rPr>
                      <w:rFonts w:ascii="仿宋_GB2312" w:hAnsi="仿宋_GB2312" w:cs="仿宋_GB2312" w:eastAsia="仿宋_GB2312"/>
                      <w:sz w:val="21"/>
                      <w:color w:val="000000"/>
                    </w:rPr>
                    <w:t xml:space="preserve"> ：三轴机械云台（俯仰、横滚、平移）</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广角：</w:t>
                  </w:r>
                  <w:r>
                    <w:rPr>
                      <w:rFonts w:ascii="仿宋_GB2312" w:hAnsi="仿宋_GB2312" w:cs="仿宋_GB2312" w:eastAsia="仿宋_GB2312"/>
                      <w:sz w:val="21"/>
                      <w:color w:val="000000"/>
                    </w:rPr>
                    <w:t>配置不低于</w:t>
                  </w:r>
                  <w:r>
                    <w:rPr>
                      <w:rFonts w:ascii="仿宋_GB2312" w:hAnsi="仿宋_GB2312" w:cs="仿宋_GB2312" w:eastAsia="仿宋_GB2312"/>
                      <w:sz w:val="21"/>
                      <w:color w:val="000000"/>
                    </w:rPr>
                    <w:t>1/1.3英寸CMOS，有效像素4800万</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中长焦：</w:t>
                  </w:r>
                  <w:r>
                    <w:rPr>
                      <w:rFonts w:ascii="仿宋_GB2312" w:hAnsi="仿宋_GB2312" w:cs="仿宋_GB2312" w:eastAsia="仿宋_GB2312"/>
                      <w:sz w:val="21"/>
                      <w:color w:val="000000"/>
                    </w:rPr>
                    <w:t>配置不低于</w:t>
                  </w:r>
                  <w:r>
                    <w:rPr>
                      <w:rFonts w:ascii="仿宋_GB2312" w:hAnsi="仿宋_GB2312" w:cs="仿宋_GB2312" w:eastAsia="仿宋_GB2312"/>
                      <w:sz w:val="21"/>
                      <w:color w:val="000000"/>
                    </w:rPr>
                    <w:t>1/1.3英寸CMOS，有效像素4800万</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长焦：</w:t>
                  </w:r>
                  <w:r>
                    <w:rPr>
                      <w:rFonts w:ascii="仿宋_GB2312" w:hAnsi="仿宋_GB2312" w:cs="仿宋_GB2312" w:eastAsia="仿宋_GB2312"/>
                      <w:sz w:val="21"/>
                      <w:color w:val="000000"/>
                    </w:rPr>
                    <w:t>配置不低于</w:t>
                  </w:r>
                  <w:r>
                    <w:rPr>
                      <w:rFonts w:ascii="仿宋_GB2312" w:hAnsi="仿宋_GB2312" w:cs="仿宋_GB2312" w:eastAsia="仿宋_GB2312"/>
                      <w:sz w:val="21"/>
                      <w:color w:val="000000"/>
                    </w:rPr>
                    <w:t>1/1.5英寸CMOS，有效像素4800万</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热成像传感器类型：非制冷氧化钒（</w:t>
                  </w:r>
                  <w:r>
                    <w:rPr>
                      <w:rFonts w:ascii="仿宋_GB2312" w:hAnsi="仿宋_GB2312" w:cs="仿宋_GB2312" w:eastAsia="仿宋_GB2312"/>
                      <w:sz w:val="21"/>
                      <w:color w:val="000000"/>
                    </w:rPr>
                    <w:t>VOx）</w:t>
                  </w: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按照项目实际情况进行配置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按照项目实际情况进行配置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大荔县所辖林区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服务内容：是否完全覆盖采购文件及合同约定的全部服务事项 服务质量：是否符合约定的服务标准、技术要求，是否达到预期效果 服务交付资料：是否齐全、规范，符合档案管理要求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完工验收后一次性付清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验收过程中出现争议的，验收小组可组织会商，或委托第三方机构进行复核，相关费用由责任方承担 对验收结果存在异议的，可按照政府采购相关法规及合同约定的途径申诉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1)具有独立承担民事责任的能力（法人单位提供有效的营业执照等证明文件，非法人 单位参照执行，自然人提供身份证明）； 2)有依法缴纳税收和社会保障资金的良好记 录：税收缴纳证明：提供投标文件提交截止时间前近半年内任意一月已缴纳的纳税证 明或完税证明（包含增值税、企业所得税至少一种），依法免税或不需要缴纳税收的 供应商应提供相关证明文件；社保缴纳证明：提供投标文件提交截止时间前近半年内 任意一月已 缴存的社会保障资金缴费证明或参保证明，依 法不需要缴纳社会保障资金 的供应商应提供相 关证明文件； 3)具有履行合同所必需的设备和专业技术能力（提供 承诺函）； 4)参加政府采购活动前三年内，在经营活动中没有重大违法记录（提供书 面声 明）； 5)法律、行政法规规定的其他条件（提供承诺函）；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提供2024年度经审计的财务报告或其开标前三个月内银行出具的资信证明；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法定代表人授权代表参加的，须出具授权书（附法定代表人、被授权人身份证复印 件）及授权人在本单位证明（提供开标前三个月内在本单位的社保缴纳记录），法 定代表人参加投标只需提供本人身份证；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信誉要求：投标人不得为“信用中国”网站（www.creditchina.gov.cn）中列入失 信被执行人和重大税收违法案件当事人名单的投标人，不得为中国政府采购网（w ww.ccgp.gov.cn）政府采购严重违法失信行为记录名单中被财政部门禁止参加政 府采购活动的投标人（处罚决定规定的时间和地域范围内）</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w:t>
            </w:r>
          </w:p>
        </w:tc>
        <w:tc>
          <w:tcPr>
            <w:tcW w:type="dxa" w:w="1661"/>
          </w:tcPr>
          <w:p>
            <w:pPr>
              <w:pStyle w:val="null3"/>
            </w:pPr>
            <w:r>
              <w:rPr>
                <w:rFonts w:ascii="仿宋_GB2312" w:hAnsi="仿宋_GB2312" w:cs="仿宋_GB2312" w:eastAsia="仿宋_GB2312"/>
              </w:rPr>
              <w:t>供应商应提交的相关资格证明材料.docx 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磋商响应文件没有重大缺项</w:t>
            </w:r>
          </w:p>
        </w:tc>
        <w:tc>
          <w:tcPr>
            <w:tcW w:type="dxa" w:w="1661"/>
          </w:tcPr>
          <w:p>
            <w:pPr>
              <w:pStyle w:val="null3"/>
            </w:pPr>
            <w:r>
              <w:rPr>
                <w:rFonts w:ascii="仿宋_GB2312" w:hAnsi="仿宋_GB2312" w:cs="仿宋_GB2312" w:eastAsia="仿宋_GB2312"/>
              </w:rPr>
              <w:t>服务内容及服务邀请应答表 中小企业声明函 商务应答表 报价表 业绩的有关证明材料.docx 响应文件封面 分项报价表.docx 供应商应提交的相关资格证明材料.docx 磋商方案说明.docx 残疾人福利性单位声明函 标的清单 人员配备一览表.docx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w:t>
            </w:r>
          </w:p>
        </w:tc>
        <w:tc>
          <w:tcPr>
            <w:tcW w:type="dxa" w:w="3322"/>
          </w:tcPr>
          <w:p>
            <w:pPr>
              <w:pStyle w:val="null3"/>
            </w:pPr>
            <w:r>
              <w:rPr>
                <w:rFonts w:ascii="仿宋_GB2312" w:hAnsi="仿宋_GB2312" w:cs="仿宋_GB2312" w:eastAsia="仿宋_GB2312"/>
              </w:rPr>
              <w:t>磋商响应文件的签署、加盖印章合格、有效；投标有效期与授权期限满足磋商文件规定</w:t>
            </w:r>
          </w:p>
        </w:tc>
        <w:tc>
          <w:tcPr>
            <w:tcW w:type="dxa" w:w="1661"/>
          </w:tcPr>
          <w:p>
            <w:pPr>
              <w:pStyle w:val="null3"/>
            </w:pPr>
            <w:r>
              <w:rPr>
                <w:rFonts w:ascii="仿宋_GB2312" w:hAnsi="仿宋_GB2312" w:cs="仿宋_GB2312" w:eastAsia="仿宋_GB2312"/>
              </w:rPr>
              <w:t>服务内容及服务邀请应答表 中小企业声明函 商务应答表 报价表 业绩的有关证明材料.docx 响应文件封面 分项报价表.docx 供应商应提交的相关资格证明材料.docx 磋商方案说明.docx 残疾人福利性单位声明函 标的清单 人员配备一览表.docx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w:t>
            </w:r>
          </w:p>
        </w:tc>
        <w:tc>
          <w:tcPr>
            <w:tcW w:type="dxa" w:w="3322"/>
          </w:tcPr>
          <w:p>
            <w:pPr>
              <w:pStyle w:val="null3"/>
            </w:pPr>
            <w:r>
              <w:rPr>
                <w:rFonts w:ascii="仿宋_GB2312" w:hAnsi="仿宋_GB2312" w:cs="仿宋_GB2312" w:eastAsia="仿宋_GB2312"/>
              </w:rPr>
              <w:t>磋商响应文件服务内容无漏项；商务条款无偏离</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报价未超过采购预算</w:t>
            </w:r>
          </w:p>
        </w:tc>
        <w:tc>
          <w:tcPr>
            <w:tcW w:type="dxa" w:w="3322"/>
          </w:tcPr>
          <w:p>
            <w:pPr>
              <w:pStyle w:val="null3"/>
            </w:pPr>
            <w:r>
              <w:rPr>
                <w:rFonts w:ascii="仿宋_GB2312" w:hAnsi="仿宋_GB2312" w:cs="仿宋_GB2312" w:eastAsia="仿宋_GB2312"/>
              </w:rPr>
              <w:t>报价未超过采购预算</w:t>
            </w:r>
          </w:p>
        </w:tc>
        <w:tc>
          <w:tcPr>
            <w:tcW w:type="dxa" w:w="1661"/>
          </w:tcPr>
          <w:p>
            <w:pPr>
              <w:pStyle w:val="null3"/>
            </w:pPr>
            <w:r>
              <w:rPr>
                <w:rFonts w:ascii="仿宋_GB2312" w:hAnsi="仿宋_GB2312" w:cs="仿宋_GB2312" w:eastAsia="仿宋_GB2312"/>
              </w:rPr>
              <w:t>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针对本项目中的常见问题进行梳理，具有良好的解决方案并及时向采购人提出合理化建议。提供一条得 1 分，满分 3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进度保障计划</w:t>
            </w:r>
          </w:p>
        </w:tc>
        <w:tc>
          <w:tcPr>
            <w:tcW w:type="dxa" w:w="2492"/>
          </w:tcPr>
          <w:p>
            <w:pPr>
              <w:pStyle w:val="null3"/>
            </w:pPr>
            <w:r>
              <w:rPr>
                <w:rFonts w:ascii="仿宋_GB2312" w:hAnsi="仿宋_GB2312" w:cs="仿宋_GB2312" w:eastAsia="仿宋_GB2312"/>
              </w:rPr>
              <w:t>项目进度安排及保证措施科学、合理，有完善的进度保障计划，包括但不限于：1、组织保障；2、管理保障；3、资源保障；4、技术保障；5、风险应对等；每提供一项得 2 分，最高得 10分。每有一处内容存在缺陷扣0.5分，扣完为止；未提供得0分。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供应商针对本项目采购需求提供的整体服务方案，包括但不限于：1、服务分析；2、服务理念及特色；3、服务目标；4、作业过程出错的补救措施；每提供一项得 5分，最高得20分。每有一处内容存在缺陷扣2分，扣完为止；未提供得0分。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作业前培训</w:t>
            </w:r>
          </w:p>
        </w:tc>
        <w:tc>
          <w:tcPr>
            <w:tcW w:type="dxa" w:w="2492"/>
          </w:tcPr>
          <w:p>
            <w:pPr>
              <w:pStyle w:val="null3"/>
            </w:pPr>
            <w:r>
              <w:rPr>
                <w:rFonts w:ascii="仿宋_GB2312" w:hAnsi="仿宋_GB2312" w:cs="仿宋_GB2312" w:eastAsia="仿宋_GB2312"/>
              </w:rPr>
              <w:t>供应商针对本项目提供详细作业前培训方案，包括但不限于：1、科学作业培训；2、防治重难点培训；3、安全及应急培训；每提供一项得 3 分，最高得9分。每有一处内容存在缺陷扣1分，扣完为止；未提供得0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供应商对本项目服务内容理解透彻，对项目中的重点、难点分析准确。包括但不限于：1、项目服务目标；2、服务内容；3、服务重点；4、服务难点。每提供一项得1 分，最高得4分。每有一处内容存在缺陷扣0.5分，扣完为止；未提供得0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以合同复印件形式提供供应商2023年1月至今类似业绩，每份计3分，计满6分为止。 注：供应商需提供服务合同（含首页、内容页、签字盖章页）复印件，否则业绩不予认可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业绩的有关证明材料.docx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提供完整的人员配置包含：（具体人员姓名、年龄、学历、相关专业证书、岗位职责、工作业绩和经验、当前分工），人员配置情况完整、科学、合理，切合本项目情况，得6分；人员配置情况一般、较合理，切合本项目情况一般，得4分；人员配置情况不完整，不能切合本项目情况，得2分；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人员配备一览表.docx</w:t>
            </w:r>
          </w:p>
        </w:tc>
      </w:tr>
      <w:tr>
        <w:tc>
          <w:tcPr>
            <w:tcW w:type="dxa" w:w="831"/>
            <w:vMerge/>
          </w:tcPr>
          <w:p/>
        </w:tc>
        <w:tc>
          <w:tcPr>
            <w:tcW w:type="dxa" w:w="1661"/>
          </w:tcPr>
          <w:p>
            <w:pPr>
              <w:pStyle w:val="null3"/>
            </w:pPr>
            <w:r>
              <w:rPr>
                <w:rFonts w:ascii="仿宋_GB2312" w:hAnsi="仿宋_GB2312" w:cs="仿宋_GB2312" w:eastAsia="仿宋_GB2312"/>
              </w:rPr>
              <w:t>整体供货方案</w:t>
            </w:r>
          </w:p>
        </w:tc>
        <w:tc>
          <w:tcPr>
            <w:tcW w:type="dxa" w:w="2492"/>
          </w:tcPr>
          <w:p>
            <w:pPr>
              <w:pStyle w:val="null3"/>
            </w:pPr>
            <w:r>
              <w:rPr>
                <w:rFonts w:ascii="仿宋_GB2312" w:hAnsi="仿宋_GB2312" w:cs="仿宋_GB2312" w:eastAsia="仿宋_GB2312"/>
              </w:rPr>
              <w:t>1、产品选型合理，主要技术指标及功能满足招标文件及行业技术标准的要求，（1）有详细的使用说明介绍；（2）能提供生产厂商的证明材料，以上2项每满足一项得2分，最高得4分；每有一处内容存在缺陷扣1分，扣完为止； 未提供得0分； 2、（1）产品安全可靠、便于操作、性能良好，（2）能提供产品质量保证证书、产品质量检测报告、 国家相关部门要求的其它强制性资质等资料；以上2项每满足一项得 2分，最高得4分；每有一处内容存在缺陷扣1分，扣完为止；未提供得0分。3、产品技术参数明确、配置齐全，规格指标、功能配置、技术资料齐全，以上5项每满足一项得 1分，最高得5分；每有一处内容存在缺陷扣0.5分 ，扣完为止；未提供得0分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供应商针对本项目服务标准与要求对服务质量进行承诺及响应，包括但不限于：1、日常服务；2、重点响应服务；3、应急保障服务时限等；每提供一项得 3 分，最高得 9分。每有一处内容存在缺陷扣1分，扣完为止；未提供得0分。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根据本项目的实际需求制定的售后服务方案及承诺，包括但不限于：1、售后服务内容；2、售后服务质量保证措施；3、售后技术人员安排、服务规范；4、售后服务承诺；每提供一项得 2.5 分，最高得 10分。每有一处内容存在缺陷扣1分，扣完为止；未提供得0分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磋商方案说明.docx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满足磋商文件要求且最终报价最低的响应报价为评标基准价，其价格分为满分。其他投标人的价格分统一按照下列公式计算：磋商报价得分=（磋商基准价/最后磋商报价） ×价格权值×100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详见附件：人员配备一览表.docx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