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版本号：HRC-ZBDL-2026-00354-120260415001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大荔县2025年官池镇沙苑水库重点区域绿化项目(二次)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HRC-ZBDL-2026-00354-1</w:t>
      </w:r>
      <w:r>
        <w:br/>
      </w:r>
      <w:r>
        <w:br/>
      </w:r>
      <w:r>
        <w:br/>
      </w:r>
    </w:p>
    <w:p>
      <w:pPr>
        <w:pStyle w:val="null3"/>
        <w:jc w:val="center"/>
        <w:outlineLvl w:val="2"/>
      </w:pPr>
      <w:r>
        <w:rPr>
          <w:rFonts w:ascii="仿宋_GB2312" w:hAnsi="仿宋_GB2312" w:cs="仿宋_GB2312" w:eastAsia="仿宋_GB2312"/>
          <w:sz w:val="28"/>
          <w:b/>
        </w:rPr>
        <w:t>大荔县林业局</w:t>
      </w:r>
    </w:p>
    <w:p>
      <w:pPr>
        <w:pStyle w:val="null3"/>
        <w:jc w:val="center"/>
        <w:outlineLvl w:val="2"/>
      </w:pPr>
      <w:r>
        <w:rPr>
          <w:rFonts w:ascii="仿宋_GB2312" w:hAnsi="仿宋_GB2312" w:cs="仿宋_GB2312" w:eastAsia="仿宋_GB2312"/>
          <w:sz w:val="28"/>
          <w:b/>
        </w:rPr>
        <w:t>华睿诚项目管理有限公司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华睿诚项目管理有限公司</w:t>
      </w:r>
      <w:r>
        <w:rPr>
          <w:rFonts w:ascii="仿宋_GB2312" w:hAnsi="仿宋_GB2312" w:cs="仿宋_GB2312" w:eastAsia="仿宋_GB2312"/>
        </w:rPr>
        <w:t>（以下简称“代理机构”）受</w:t>
      </w:r>
      <w:r>
        <w:rPr>
          <w:rFonts w:ascii="仿宋_GB2312" w:hAnsi="仿宋_GB2312" w:cs="仿宋_GB2312" w:eastAsia="仿宋_GB2312"/>
        </w:rPr>
        <w:t>大荔县林业局</w:t>
      </w:r>
      <w:r>
        <w:rPr>
          <w:rFonts w:ascii="仿宋_GB2312" w:hAnsi="仿宋_GB2312" w:cs="仿宋_GB2312" w:eastAsia="仿宋_GB2312"/>
        </w:rPr>
        <w:t>委托，拟对</w:t>
      </w:r>
      <w:r>
        <w:rPr>
          <w:rFonts w:ascii="仿宋_GB2312" w:hAnsi="仿宋_GB2312" w:cs="仿宋_GB2312" w:eastAsia="仿宋_GB2312"/>
        </w:rPr>
        <w:t>大荔县2025年官池镇沙苑水库重点区域绿化项目(二次)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HRC-ZBDL-2026-00354-1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大荔县2025年官池镇沙苑水库重点区域绿化项目(二次)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建设地点位于大荔县城区南部的沙苑地区，作业面积172亩，涉及2个镇（街道）6个作业区9个小班，其中西城街道办同州生态新区发展中心作业区5个小班66亩，官池镇经济技术开发区管委会作业区4个小班106亩，需满足的要求:树木成活率达到95%。</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采购包1（大荔县2025年官池镇沙苑水库重点区域绿化项目）：属于专门面向中小企业采购。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授权代表参加的，须出具授权书（附法定代表人、被授权人身份证复印件）及被授权人在本单位证明（提供开标前三个月内在本单位的社保缴纳记录），法定代表人参加投标只需提供本人身份证；</w:t>
      </w:r>
    </w:p>
    <w:p>
      <w:pPr>
        <w:pStyle w:val="null3"/>
      </w:pPr>
      <w:r>
        <w:rPr>
          <w:rFonts w:ascii="仿宋_GB2312" w:hAnsi="仿宋_GB2312" w:cs="仿宋_GB2312" w:eastAsia="仿宋_GB2312"/>
        </w:rPr>
        <w:t>2、资质要求及项目经理要求：具备市政公用工程二级及以上资质，具有建设行政主管部门颁发的安全生产许可证证书等级： 拟派项目经理需具备市政公用工程二级及以上注册建造师执业资格和有效的安全生产考核合格证书；并提供项目经理无在建证明及近三个月在本单位的社保缴纳证明。</w:t>
      </w:r>
    </w:p>
    <w:p>
      <w:pPr>
        <w:pStyle w:val="null3"/>
      </w:pPr>
      <w:r>
        <w:rPr>
          <w:rFonts w:ascii="仿宋_GB2312" w:hAnsi="仿宋_GB2312" w:cs="仿宋_GB2312" w:eastAsia="仿宋_GB2312"/>
        </w:rPr>
        <w:t>3、信誉要求：信誉要求：投标人不得为“信用中国”网站（www.creditchina.gov.cn）中列入失 信被执行人和重大税收违法案件当事人名单的投标人，不得为中国政府采购网（w ww.ccgp.gov.cn）政府采购严重违法失信行为记录名单中被财政部门禁止参加政 府采购活动的投标人（处罚决定规定的时间和地域范围内）</w:t>
      </w:r>
    </w:p>
    <w:p>
      <w:pPr>
        <w:pStyle w:val="null3"/>
      </w:pPr>
      <w:r>
        <w:rPr>
          <w:rFonts w:ascii="仿宋_GB2312" w:hAnsi="仿宋_GB2312" w:cs="仿宋_GB2312" w:eastAsia="仿宋_GB2312"/>
        </w:rPr>
        <w:t>4、中小企业声明函：提供中小企业声明函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大荔县林业局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陕西省大荔县南关路2号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大荔县林业局经办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0913-3610744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华睿诚项目管理有限公司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华睿诚项目管理有限公司大荔项目部（大荔县雅轩汤泉酒店北20米）</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宋英</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0913-3581777/15191338837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大荔县政府采购管理股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杨俊明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0913-3256202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采购包1：1,493,860.16元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考《国家计委关于印发&lt;招标代理服务收费管理暂行办法&gt;的通知》（计价格【2002】1980号）及《国家发改委关于降低部分建设项目收费标准规范收费行为等有关问题的通知》（发改价格[2011]534号）规定按标准收取。 2、支付方式：中标人应在领取通知书的同时，支付本项目代理服务费。 收款单位：华睿诚项目管理有限公司 开户行：西安银行小寨东路支行 账号：816011580000101224</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大荔县林业局</w:t>
      </w:r>
      <w:r>
        <w:rPr>
          <w:rFonts w:ascii="仿宋_GB2312" w:hAnsi="仿宋_GB2312" w:cs="仿宋_GB2312" w:eastAsia="仿宋_GB2312"/>
        </w:rPr>
        <w:t>和</w:t>
      </w:r>
      <w:r>
        <w:rPr>
          <w:rFonts w:ascii="仿宋_GB2312" w:hAnsi="仿宋_GB2312" w:cs="仿宋_GB2312" w:eastAsia="仿宋_GB2312"/>
        </w:rPr>
        <w:t>华睿诚项目管理有限公司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大荔县林业局</w:t>
      </w:r>
      <w:r>
        <w:rPr>
          <w:rFonts w:ascii="仿宋_GB2312" w:hAnsi="仿宋_GB2312" w:cs="仿宋_GB2312" w:eastAsia="仿宋_GB2312"/>
        </w:rPr>
        <w:t>负责解释。除上述磋商文件内容，其他内容由</w:t>
      </w:r>
      <w:r>
        <w:rPr>
          <w:rFonts w:ascii="仿宋_GB2312" w:hAnsi="仿宋_GB2312" w:cs="仿宋_GB2312" w:eastAsia="仿宋_GB2312"/>
        </w:rPr>
        <w:t>华睿诚项目管理有限公司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大荔县林业局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华睿诚项目管理有限公司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完成设计文件规定的核心建设内容；①苗木存活率：栽植后经过一个生长周期后，成活率达到95%以上 ； ②保存率要求达到85%以上； ③选苗标准：严格执行《全国主要造林树种苗木质量分级标准》（合同签订后，苗木采购应出具苗木生产地的“两证一签”：苗木检疫证、苗木合格证和苗木标签） 施工单位完成自查，监理单位（如有）出具质量合格意见； 工程档案（设计图纸、施工记录、种苗合格证明等）基本齐全； 资金使用无明显违规情况。</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联系人：宋英</w:t>
      </w:r>
    </w:p>
    <w:p>
      <w:pPr>
        <w:pStyle w:val="null3"/>
      </w:pPr>
      <w:r>
        <w:rPr>
          <w:rFonts w:ascii="仿宋_GB2312" w:hAnsi="仿宋_GB2312" w:cs="仿宋_GB2312" w:eastAsia="仿宋_GB2312"/>
        </w:rPr>
        <w:t>联系电话：0913-3581777/15191338837</w:t>
      </w:r>
    </w:p>
    <w:p>
      <w:pPr>
        <w:pStyle w:val="null3"/>
      </w:pPr>
      <w:r>
        <w:rPr>
          <w:rFonts w:ascii="仿宋_GB2312" w:hAnsi="仿宋_GB2312" w:cs="仿宋_GB2312" w:eastAsia="仿宋_GB2312"/>
        </w:rPr>
        <w:t>地址：华睿诚项目管理有限公司大荔项目部（大荔县雅轩汤泉酒店北20米）</w:t>
      </w:r>
    </w:p>
    <w:p>
      <w:pPr>
        <w:pStyle w:val="null3"/>
      </w:pPr>
      <w:r>
        <w:rPr>
          <w:rFonts w:ascii="仿宋_GB2312" w:hAnsi="仿宋_GB2312" w:cs="仿宋_GB2312" w:eastAsia="仿宋_GB2312"/>
        </w:rPr>
        <w:t>邮编：715100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1,493,860.16</w:t>
      </w:r>
    </w:p>
    <w:p>
      <w:pPr>
        <w:pStyle w:val="null3"/>
      </w:pPr>
      <w:r>
        <w:rPr>
          <w:rFonts w:ascii="仿宋_GB2312" w:hAnsi="仿宋_GB2312" w:cs="仿宋_GB2312" w:eastAsia="仿宋_GB2312"/>
        </w:rPr>
        <w:t>采购包最高限价（元）: 1,493,860.15</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作业面积172亩</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1,493,860.16</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农、林、牧、渔业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标的名称：作业面积172亩</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43"/>
              <w:jc w:val="both"/>
            </w:pPr>
            <w:r>
              <w:rPr>
                <w:rFonts w:ascii="仿宋_GB2312" w:hAnsi="仿宋_GB2312" w:cs="仿宋_GB2312" w:eastAsia="仿宋_GB2312"/>
                <w:sz w:val="21"/>
                <w:b/>
              </w:rPr>
              <w:t>一、基本要求</w:t>
            </w:r>
          </w:p>
          <w:p>
            <w:pPr>
              <w:pStyle w:val="null3"/>
              <w:ind w:firstLine="640"/>
              <w:jc w:val="both"/>
            </w:pPr>
            <w:r>
              <w:rPr>
                <w:rFonts w:ascii="仿宋_GB2312" w:hAnsi="仿宋_GB2312" w:cs="仿宋_GB2312" w:eastAsia="仿宋_GB2312"/>
                <w:sz w:val="21"/>
              </w:rPr>
              <w:t>1、项目概况：</w:t>
            </w:r>
            <w:r>
              <w:rPr>
                <w:rFonts w:ascii="仿宋_GB2312" w:hAnsi="仿宋_GB2312" w:cs="仿宋_GB2312" w:eastAsia="仿宋_GB2312"/>
                <w:sz w:val="21"/>
              </w:rPr>
              <w:t xml:space="preserve"> </w:t>
            </w:r>
          </w:p>
          <w:p>
            <w:pPr>
              <w:pStyle w:val="null3"/>
              <w:ind w:firstLine="640"/>
              <w:jc w:val="both"/>
            </w:pPr>
            <w:r>
              <w:rPr>
                <w:rFonts w:ascii="仿宋_GB2312" w:hAnsi="仿宋_GB2312" w:cs="仿宋_GB2312" w:eastAsia="仿宋_GB2312"/>
                <w:sz w:val="21"/>
              </w:rPr>
              <w:t>本项目</w:t>
            </w:r>
            <w:r>
              <w:rPr>
                <w:rFonts w:ascii="仿宋_GB2312" w:hAnsi="仿宋_GB2312" w:cs="仿宋_GB2312" w:eastAsia="仿宋_GB2312"/>
                <w:sz w:val="21"/>
              </w:rPr>
              <w:t>建设</w:t>
            </w:r>
            <w:r>
              <w:rPr>
                <w:rFonts w:ascii="仿宋_GB2312" w:hAnsi="仿宋_GB2312" w:cs="仿宋_GB2312" w:eastAsia="仿宋_GB2312"/>
                <w:sz w:val="21"/>
              </w:rPr>
              <w:t>地点位于</w:t>
            </w:r>
            <w:r>
              <w:rPr>
                <w:rFonts w:ascii="仿宋_GB2312" w:hAnsi="仿宋_GB2312" w:cs="仿宋_GB2312" w:eastAsia="仿宋_GB2312"/>
                <w:sz w:val="21"/>
              </w:rPr>
              <w:t>大荔县城区南部的沙苑地区，作业面积172</w:t>
            </w:r>
            <w:r>
              <w:rPr>
                <w:rFonts w:ascii="仿宋_GB2312" w:hAnsi="仿宋_GB2312" w:cs="仿宋_GB2312" w:eastAsia="仿宋_GB2312"/>
                <w:sz w:val="21"/>
              </w:rPr>
              <w:t>亩</w:t>
            </w:r>
            <w:r>
              <w:rPr>
                <w:rFonts w:ascii="仿宋_GB2312" w:hAnsi="仿宋_GB2312" w:cs="仿宋_GB2312" w:eastAsia="仿宋_GB2312"/>
                <w:sz w:val="21"/>
              </w:rPr>
              <w:t>，涉及2个镇（街道）6个作业区9个小班，其中西城街道办同州生态新区发展中心作业区5个小班66亩，官池镇经济技术开发区管委会作业区4个小班106亩，</w:t>
            </w:r>
            <w:r>
              <w:rPr>
                <w:rFonts w:ascii="仿宋_GB2312" w:hAnsi="仿宋_GB2312" w:cs="仿宋_GB2312" w:eastAsia="仿宋_GB2312"/>
                <w:sz w:val="21"/>
              </w:rPr>
              <w:t>需满足的要求:树木成活率达到95%。</w:t>
            </w:r>
          </w:p>
          <w:p>
            <w:pPr>
              <w:pStyle w:val="null3"/>
              <w:ind w:firstLine="640"/>
              <w:jc w:val="both"/>
            </w:pPr>
            <w:r>
              <w:rPr>
                <w:rFonts w:ascii="仿宋_GB2312" w:hAnsi="仿宋_GB2312" w:cs="仿宋_GB2312" w:eastAsia="仿宋_GB2312"/>
                <w:sz w:val="21"/>
              </w:rPr>
              <w:t>2、采购项目需要落实的政府采购政策：</w:t>
            </w:r>
          </w:p>
          <w:p>
            <w:pPr>
              <w:pStyle w:val="null3"/>
              <w:ind w:firstLine="640"/>
              <w:jc w:val="both"/>
            </w:pPr>
            <w:r>
              <w:rPr>
                <w:rFonts w:ascii="仿宋_GB2312" w:hAnsi="仿宋_GB2312" w:cs="仿宋_GB2312" w:eastAsia="仿宋_GB2312"/>
                <w:sz w:val="21"/>
              </w:rPr>
              <w:t>（1）《财政部 国家发展改革委关于印发〈节能产品政府采购实施意见〉的通知》（财库〔2004〕185号）；</w:t>
            </w:r>
          </w:p>
          <w:p>
            <w:pPr>
              <w:pStyle w:val="null3"/>
              <w:ind w:firstLine="640"/>
              <w:jc w:val="both"/>
            </w:pPr>
            <w:r>
              <w:rPr>
                <w:rFonts w:ascii="仿宋_GB2312" w:hAnsi="仿宋_GB2312" w:cs="仿宋_GB2312" w:eastAsia="仿宋_GB2312"/>
                <w:sz w:val="21"/>
              </w:rPr>
              <w:t>（2）《国务院办公厅关于建立政府强制采购节能产品制度的通知》（国办发〔2007〕51号）；</w:t>
            </w:r>
          </w:p>
          <w:p>
            <w:pPr>
              <w:pStyle w:val="null3"/>
              <w:ind w:firstLine="640"/>
              <w:jc w:val="both"/>
            </w:pPr>
            <w:r>
              <w:rPr>
                <w:rFonts w:ascii="仿宋_GB2312" w:hAnsi="仿宋_GB2312" w:cs="仿宋_GB2312" w:eastAsia="仿宋_GB2312"/>
                <w:sz w:val="21"/>
              </w:rPr>
              <w:t>（3）《财政部环保总局关于环境标志产品政府采购实施的意见》（财库〔2006〕90号）；</w:t>
            </w:r>
          </w:p>
          <w:p>
            <w:pPr>
              <w:pStyle w:val="null3"/>
              <w:ind w:firstLine="640"/>
              <w:jc w:val="both"/>
            </w:pPr>
            <w:r>
              <w:rPr>
                <w:rFonts w:ascii="仿宋_GB2312" w:hAnsi="仿宋_GB2312" w:cs="仿宋_GB2312" w:eastAsia="仿宋_GB2312"/>
                <w:sz w:val="21"/>
              </w:rPr>
              <w:t>（4）《政府采购促进中小企业发展管理办法》（财库〔2020〕46号）；</w:t>
            </w:r>
          </w:p>
          <w:p>
            <w:pPr>
              <w:pStyle w:val="null3"/>
              <w:ind w:firstLine="640"/>
              <w:jc w:val="both"/>
            </w:pPr>
            <w:r>
              <w:rPr>
                <w:rFonts w:ascii="仿宋_GB2312" w:hAnsi="仿宋_GB2312" w:cs="仿宋_GB2312" w:eastAsia="仿宋_GB2312"/>
                <w:sz w:val="21"/>
              </w:rPr>
              <w:t>（5）陕西省财政厅关于印发《陕西省中小企业政府采购信用融资办法》-（陕财办采</w:t>
            </w:r>
            <w:r>
              <w:rPr>
                <w:rFonts w:ascii="仿宋_GB2312" w:hAnsi="仿宋_GB2312" w:cs="仿宋_GB2312" w:eastAsia="仿宋_GB2312"/>
                <w:sz w:val="21"/>
              </w:rPr>
              <w:t>〔2018〕23号</w:t>
            </w:r>
            <w:r>
              <w:rPr>
                <w:rFonts w:ascii="仿宋_GB2312" w:hAnsi="仿宋_GB2312" w:cs="仿宋_GB2312" w:eastAsia="仿宋_GB2312"/>
                <w:sz w:val="21"/>
              </w:rPr>
              <w:t>）</w:t>
            </w:r>
          </w:p>
          <w:p>
            <w:pPr>
              <w:pStyle w:val="null3"/>
              <w:ind w:firstLine="640"/>
              <w:jc w:val="both"/>
            </w:pPr>
            <w:r>
              <w:rPr>
                <w:rFonts w:ascii="仿宋_GB2312" w:hAnsi="仿宋_GB2312" w:cs="仿宋_GB2312" w:eastAsia="仿宋_GB2312"/>
                <w:sz w:val="21"/>
              </w:rPr>
              <w:t>（6）《财政部司法部关于政府采购支持监狱企业发展有关问题的通知》（财库〔2014〕68号）；</w:t>
            </w:r>
          </w:p>
          <w:p>
            <w:pPr>
              <w:pStyle w:val="null3"/>
              <w:ind w:firstLine="640"/>
              <w:jc w:val="both"/>
            </w:pPr>
            <w:r>
              <w:rPr>
                <w:rFonts w:ascii="仿宋_GB2312" w:hAnsi="仿宋_GB2312" w:cs="仿宋_GB2312" w:eastAsia="仿宋_GB2312"/>
                <w:sz w:val="21"/>
              </w:rPr>
              <w:t>（7）《三部门联合发布关于促进残疾人就业政府采购政策的通知》（财库〔2017〕141号）；</w:t>
            </w:r>
          </w:p>
          <w:p>
            <w:pPr>
              <w:pStyle w:val="null3"/>
              <w:ind w:firstLine="640"/>
              <w:jc w:val="both"/>
            </w:pP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财政部国务院扶贫办关于运用政府采购政策支持脱贫攻坚的通知</w:t>
            </w:r>
            <w:r>
              <w:rPr>
                <w:rFonts w:ascii="仿宋_GB2312" w:hAnsi="仿宋_GB2312" w:cs="仿宋_GB2312" w:eastAsia="仿宋_GB2312"/>
                <w:sz w:val="21"/>
              </w:rPr>
              <w:t>》（财库〔2019〕27号）</w:t>
            </w:r>
          </w:p>
          <w:p>
            <w:pPr>
              <w:pStyle w:val="null3"/>
              <w:ind w:firstLine="640"/>
              <w:jc w:val="both"/>
            </w:pPr>
            <w:r>
              <w:rPr>
                <w:rFonts w:ascii="仿宋_GB2312" w:hAnsi="仿宋_GB2312" w:cs="仿宋_GB2312" w:eastAsia="仿宋_GB2312"/>
                <w:sz w:val="21"/>
              </w:rPr>
              <w:t>（9）《关于进一步加大政府采购支持中小企业力度的通知》（财库〔2019〕19号）</w:t>
            </w:r>
          </w:p>
          <w:p>
            <w:pPr>
              <w:pStyle w:val="null3"/>
              <w:ind w:firstLine="640"/>
              <w:jc w:val="both"/>
            </w:pPr>
            <w:r>
              <w:rPr>
                <w:rFonts w:ascii="仿宋_GB2312" w:hAnsi="仿宋_GB2312" w:cs="仿宋_GB2312" w:eastAsia="仿宋_GB2312"/>
                <w:sz w:val="21"/>
              </w:rPr>
              <w:t>（10）其他需要落实的政府采购政策。</w:t>
            </w:r>
          </w:p>
          <w:p>
            <w:pPr>
              <w:pStyle w:val="null3"/>
              <w:ind w:firstLine="640"/>
              <w:jc w:val="both"/>
            </w:pPr>
            <w:r>
              <w:rPr>
                <w:rFonts w:ascii="仿宋_GB2312" w:hAnsi="仿宋_GB2312" w:cs="仿宋_GB2312" w:eastAsia="仿宋_GB2312"/>
                <w:sz w:val="21"/>
              </w:rPr>
              <w:t>（11）本项目专门面向中小企业采购。</w:t>
            </w:r>
          </w:p>
          <w:p>
            <w:pPr>
              <w:pStyle w:val="null3"/>
              <w:ind w:firstLine="640"/>
              <w:jc w:val="both"/>
            </w:pPr>
            <w:r>
              <w:rPr>
                <w:rFonts w:ascii="仿宋_GB2312" w:hAnsi="仿宋_GB2312" w:cs="仿宋_GB2312" w:eastAsia="仿宋_GB2312"/>
                <w:sz w:val="21"/>
              </w:rPr>
              <w:t>3、工期</w:t>
            </w:r>
            <w:r>
              <w:rPr>
                <w:rFonts w:ascii="仿宋_GB2312" w:hAnsi="仿宋_GB2312" w:cs="仿宋_GB2312" w:eastAsia="仿宋_GB2312"/>
                <w:sz w:val="21"/>
              </w:rPr>
              <w:t>：</w:t>
            </w:r>
            <w:r>
              <w:rPr>
                <w:rFonts w:ascii="仿宋_GB2312" w:hAnsi="仿宋_GB2312" w:cs="仿宋_GB2312" w:eastAsia="仿宋_GB2312"/>
                <w:sz w:val="21"/>
              </w:rPr>
              <w:t>70日历天</w:t>
            </w:r>
          </w:p>
          <w:p>
            <w:pPr>
              <w:pStyle w:val="null3"/>
              <w:ind w:firstLine="640"/>
              <w:jc w:val="both"/>
            </w:pPr>
            <w:r>
              <w:rPr>
                <w:rFonts w:ascii="仿宋_GB2312" w:hAnsi="仿宋_GB2312" w:cs="仿宋_GB2312" w:eastAsia="仿宋_GB2312"/>
                <w:sz w:val="21"/>
              </w:rPr>
              <w:t>4、工程地点：</w:t>
            </w:r>
            <w:r>
              <w:rPr>
                <w:rFonts w:ascii="仿宋_GB2312" w:hAnsi="仿宋_GB2312" w:cs="仿宋_GB2312" w:eastAsia="仿宋_GB2312"/>
                <w:sz w:val="21"/>
              </w:rPr>
              <w:t>大荔县城区南部的沙苑地区</w:t>
            </w:r>
          </w:p>
          <w:p>
            <w:pPr>
              <w:pStyle w:val="null3"/>
              <w:ind w:firstLine="643"/>
              <w:jc w:val="both"/>
            </w:pPr>
            <w:r>
              <w:rPr>
                <w:rFonts w:ascii="仿宋_GB2312" w:hAnsi="仿宋_GB2312" w:cs="仿宋_GB2312" w:eastAsia="仿宋_GB2312"/>
                <w:sz w:val="21"/>
                <w:b/>
              </w:rPr>
              <w:t>二、需执行的国家相关标准、行业标准或者其他标准、规范标准</w:t>
            </w:r>
          </w:p>
          <w:p>
            <w:pPr>
              <w:pStyle w:val="null3"/>
              <w:ind w:firstLine="640"/>
              <w:jc w:val="left"/>
            </w:pPr>
            <w:r>
              <w:rPr>
                <w:rFonts w:ascii="仿宋_GB2312" w:hAnsi="仿宋_GB2312" w:cs="仿宋_GB2312" w:eastAsia="仿宋_GB2312"/>
                <w:sz w:val="21"/>
                <w:color w:val="000000"/>
              </w:rPr>
              <w:t>1.《造林技术规程（GB/T 15776-2023）》；</w:t>
            </w:r>
          </w:p>
          <w:p>
            <w:pPr>
              <w:pStyle w:val="null3"/>
              <w:ind w:firstLine="640"/>
              <w:jc w:val="left"/>
            </w:pPr>
            <w:r>
              <w:rPr>
                <w:rFonts w:ascii="仿宋_GB2312" w:hAnsi="仿宋_GB2312" w:cs="仿宋_GB2312" w:eastAsia="仿宋_GB2312"/>
                <w:sz w:val="21"/>
                <w:color w:val="000000"/>
              </w:rPr>
              <w:t>2.《造林作业设计规程（LY/T 1607-2003）》）</w:t>
            </w:r>
          </w:p>
          <w:p>
            <w:pPr>
              <w:pStyle w:val="null3"/>
              <w:ind w:firstLine="640"/>
              <w:jc w:val="left"/>
            </w:pPr>
            <w:r>
              <w:rPr>
                <w:rFonts w:ascii="仿宋_GB2312" w:hAnsi="仿宋_GB2312" w:cs="仿宋_GB2312" w:eastAsia="仿宋_GB2312"/>
                <w:sz w:val="21"/>
                <w:color w:val="000000"/>
              </w:rPr>
              <w:t>3.《生态公益林建设技术规程（GB/T 18337.3-2001）》；</w:t>
            </w:r>
          </w:p>
          <w:p>
            <w:pPr>
              <w:pStyle w:val="null3"/>
              <w:ind w:firstLine="640"/>
              <w:jc w:val="left"/>
            </w:pPr>
            <w:r>
              <w:rPr>
                <w:rFonts w:ascii="仿宋_GB2312" w:hAnsi="仿宋_GB2312" w:cs="仿宋_GB2312" w:eastAsia="仿宋_GB2312"/>
                <w:sz w:val="21"/>
                <w:color w:val="000000"/>
              </w:rPr>
              <w:t>4.《退化防护林修复技术规程（LY/T 13179-2020）》；</w:t>
            </w:r>
          </w:p>
          <w:p>
            <w:pPr>
              <w:pStyle w:val="null3"/>
              <w:ind w:firstLine="640"/>
              <w:jc w:val="left"/>
            </w:pPr>
            <w:r>
              <w:rPr>
                <w:rFonts w:ascii="仿宋_GB2312" w:hAnsi="仿宋_GB2312" w:cs="仿宋_GB2312" w:eastAsia="仿宋_GB2312"/>
                <w:sz w:val="21"/>
                <w:color w:val="000000"/>
              </w:rPr>
              <w:t>5.《三北防护林退化林分修复技术规程（LY/T 2786-2017）》；</w:t>
            </w:r>
          </w:p>
          <w:p>
            <w:pPr>
              <w:pStyle w:val="null3"/>
              <w:ind w:firstLine="640"/>
              <w:jc w:val="left"/>
            </w:pPr>
            <w:r>
              <w:rPr>
                <w:rFonts w:ascii="仿宋_GB2312" w:hAnsi="仿宋_GB2312" w:cs="仿宋_GB2312" w:eastAsia="仿宋_GB2312"/>
                <w:sz w:val="21"/>
                <w:color w:val="000000"/>
              </w:rPr>
              <w:t>6.《森林抚育规程（GB/T 15781-2015）》；</w:t>
            </w:r>
          </w:p>
          <w:p>
            <w:pPr>
              <w:pStyle w:val="null3"/>
              <w:ind w:firstLine="640"/>
              <w:jc w:val="left"/>
            </w:pPr>
            <w:r>
              <w:rPr>
                <w:rFonts w:ascii="仿宋_GB2312" w:hAnsi="仿宋_GB2312" w:cs="仿宋_GB2312" w:eastAsia="仿宋_GB2312"/>
                <w:sz w:val="21"/>
                <w:color w:val="000000"/>
              </w:rPr>
              <w:t>7.《低效林改造技术（LY/T 1690-2017）》；</w:t>
            </w:r>
          </w:p>
          <w:p>
            <w:pPr>
              <w:pStyle w:val="null3"/>
              <w:ind w:firstLine="640"/>
              <w:jc w:val="left"/>
            </w:pPr>
            <w:r>
              <w:rPr>
                <w:rFonts w:ascii="仿宋_GB2312" w:hAnsi="仿宋_GB2312" w:cs="仿宋_GB2312" w:eastAsia="仿宋_GB2312"/>
                <w:sz w:val="21"/>
                <w:color w:val="000000"/>
              </w:rPr>
              <w:t>8.《北方地区裸露边坡植被恢复技术规范（LY/T 2771-2016）》；</w:t>
            </w:r>
          </w:p>
          <w:p>
            <w:pPr>
              <w:pStyle w:val="null3"/>
              <w:ind w:firstLine="640"/>
              <w:jc w:val="left"/>
            </w:pPr>
            <w:r>
              <w:rPr>
                <w:rFonts w:ascii="仿宋_GB2312" w:hAnsi="仿宋_GB2312" w:cs="仿宋_GB2312" w:eastAsia="仿宋_GB2312"/>
                <w:sz w:val="21"/>
                <w:color w:val="000000"/>
              </w:rPr>
              <w:t>9.《通道绿化技术规程（LY/T 2647-2016）》；</w:t>
            </w:r>
          </w:p>
          <w:p>
            <w:pPr>
              <w:pStyle w:val="null3"/>
              <w:ind w:firstLine="640"/>
              <w:jc w:val="left"/>
            </w:pPr>
            <w:r>
              <w:rPr>
                <w:rFonts w:ascii="仿宋_GB2312" w:hAnsi="仿宋_GB2312" w:cs="仿宋_GB2312" w:eastAsia="仿宋_GB2312"/>
                <w:sz w:val="21"/>
                <w:color w:val="000000"/>
              </w:rPr>
              <w:t>10.《乡村绿化技术规程（LY/T 2645-2016）》。</w:t>
            </w:r>
          </w:p>
          <w:p>
            <w:pPr>
              <w:pStyle w:val="null3"/>
              <w:ind w:firstLine="640"/>
              <w:jc w:val="left"/>
            </w:pPr>
            <w:r>
              <w:rPr>
                <w:rFonts w:ascii="仿宋_GB2312" w:hAnsi="仿宋_GB2312" w:cs="仿宋_GB2312" w:eastAsia="仿宋_GB2312"/>
                <w:sz w:val="21"/>
                <w:color w:val="000000"/>
              </w:rPr>
              <w:t xml:space="preserve">其他相关标准、规范。  </w:t>
            </w:r>
          </w:p>
          <w:p>
            <w:pPr>
              <w:pStyle w:val="null3"/>
              <w:ind w:firstLine="643"/>
              <w:jc w:val="both"/>
            </w:pPr>
            <w:r>
              <w:rPr>
                <w:rFonts w:ascii="仿宋_GB2312" w:hAnsi="仿宋_GB2312" w:cs="仿宋_GB2312" w:eastAsia="仿宋_GB2312"/>
                <w:sz w:val="21"/>
                <w:b/>
              </w:rPr>
              <w:t>三、工程指标的具体要求：</w:t>
            </w:r>
          </w:p>
          <w:p>
            <w:pPr>
              <w:pStyle w:val="null3"/>
              <w:ind w:firstLine="640"/>
              <w:jc w:val="left"/>
            </w:pPr>
            <w:r>
              <w:rPr>
                <w:rFonts w:ascii="仿宋_GB2312" w:hAnsi="仿宋_GB2312" w:cs="仿宋_GB2312" w:eastAsia="仿宋_GB2312"/>
                <w:sz w:val="21"/>
                <w:color w:val="000000"/>
              </w:rPr>
              <w:t>1、质量标准： 合格</w:t>
            </w:r>
          </w:p>
          <w:p>
            <w:pPr>
              <w:pStyle w:val="null3"/>
              <w:ind w:firstLine="640"/>
              <w:jc w:val="left"/>
            </w:pPr>
            <w:r>
              <w:rPr>
                <w:rFonts w:ascii="仿宋_GB2312" w:hAnsi="仿宋_GB2312" w:cs="仿宋_GB2312" w:eastAsia="仿宋_GB2312"/>
                <w:sz w:val="21"/>
                <w:color w:val="000000"/>
              </w:rPr>
              <w:t>2、质保期： 1年</w:t>
            </w:r>
          </w:p>
          <w:p>
            <w:pPr>
              <w:pStyle w:val="null3"/>
              <w:ind w:firstLine="640"/>
              <w:jc w:val="both"/>
            </w:pPr>
            <w:r>
              <w:rPr>
                <w:rFonts w:ascii="仿宋_GB2312" w:hAnsi="仿宋_GB2312" w:cs="仿宋_GB2312" w:eastAsia="仿宋_GB2312"/>
                <w:sz w:val="21"/>
                <w:color w:val="000000"/>
              </w:rPr>
              <w:t>3、工程项目建设相关要求：</w:t>
            </w:r>
          </w:p>
          <w:p>
            <w:pPr>
              <w:pStyle w:val="null3"/>
              <w:ind w:firstLine="640"/>
              <w:jc w:val="left"/>
            </w:pPr>
            <w:r>
              <w:rPr>
                <w:rFonts w:ascii="仿宋_GB2312" w:hAnsi="仿宋_GB2312" w:cs="仿宋_GB2312" w:eastAsia="仿宋_GB2312"/>
                <w:sz w:val="21"/>
                <w:color w:val="000000"/>
              </w:rPr>
              <w:t>（1）依据设计文件的要求，本工程项目的材料、设备、施工须达到所涉及到的现行中华人民共和国工程建设标准、规范的要求。</w:t>
            </w:r>
          </w:p>
          <w:p>
            <w:pPr>
              <w:pStyle w:val="null3"/>
              <w:ind w:firstLine="640"/>
              <w:jc w:val="left"/>
            </w:pPr>
            <w:r>
              <w:rPr>
                <w:rFonts w:ascii="仿宋_GB2312" w:hAnsi="仿宋_GB2312" w:cs="仿宋_GB2312" w:eastAsia="仿宋_GB2312"/>
                <w:sz w:val="21"/>
                <w:color w:val="000000"/>
              </w:rPr>
              <w:t>（2）根据工程设计要求，该项工程的材料、设备、施工除必须达到上述设计要求和招标文件中的有关要求。</w:t>
            </w:r>
          </w:p>
          <w:p>
            <w:pPr>
              <w:pStyle w:val="null3"/>
              <w:ind w:firstLine="640"/>
              <w:jc w:val="left"/>
            </w:pPr>
            <w:r>
              <w:rPr>
                <w:rFonts w:ascii="仿宋_GB2312" w:hAnsi="仿宋_GB2312" w:cs="仿宋_GB2312" w:eastAsia="仿宋_GB2312"/>
                <w:sz w:val="21"/>
                <w:b/>
              </w:rPr>
              <w:t>四、付款方式：</w:t>
            </w:r>
          </w:p>
          <w:p>
            <w:pPr>
              <w:pStyle w:val="null3"/>
              <w:ind w:firstLine="640"/>
              <w:jc w:val="left"/>
            </w:pPr>
            <w:r>
              <w:rPr>
                <w:rFonts w:ascii="仿宋_GB2312" w:hAnsi="仿宋_GB2312" w:cs="仿宋_GB2312" w:eastAsia="仿宋_GB2312"/>
                <w:sz w:val="21"/>
                <w:color w:val="000000"/>
              </w:rPr>
              <w:t>合同预付款40%，施工结束验收合格后支付40%，养护期满后付清剩余工程款</w:t>
            </w:r>
          </w:p>
          <w:p>
            <w:pPr>
              <w:pStyle w:val="null3"/>
              <w:ind w:firstLine="640"/>
              <w:jc w:val="left"/>
            </w:pPr>
            <w:r>
              <w:rPr>
                <w:rFonts w:ascii="仿宋_GB2312" w:hAnsi="仿宋_GB2312" w:cs="仿宋_GB2312" w:eastAsia="仿宋_GB2312"/>
                <w:sz w:val="21"/>
                <w:b/>
              </w:rPr>
              <w:t>五、工程量清单</w:t>
            </w:r>
            <w:r>
              <w:br/>
            </w:r>
            <w:r>
              <w:rPr>
                <w:rFonts w:ascii="仿宋_GB2312" w:hAnsi="仿宋_GB2312" w:cs="仿宋_GB2312" w:eastAsia="仿宋_GB2312"/>
                <w:sz w:val="21"/>
                <w:color w:val="000000"/>
              </w:rPr>
              <w:t xml:space="preserve">      详见清单附件。</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1.《造林技术规程（GB/T 15776-2023）》； 2.《造林作业设计规程（LY/T 1607-2003）》） 3.《生态公益林建设技术规程（GB/T 18337.3-2001）》； 4.《退化防护林修复技术规程（LY/T 13179-2020）》； 5.《三北防护林退化林分修复技术规程（LY/T 2786-2017）》； 6.《森林抚育规程（GB/T 15781-2015）》； 7.《低效林改造技术（LY/T 1690-2017）》； 8.《北方地区裸露边坡植被恢复技术规范（LY/T 2771-2016）》； 9.《通道绿化技术规程（LY/T 2647-2016）》； 10.《乡村绿化技术规程（LY/T 2645-2016）》。 其他相关标准、规范。</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1)具有独立承担民事责任的能力（法人单位提供有效的营业执照等证明文件，非法人单位参照执行，自然人提供身份证明）； 2)有依法缴纳税收和社会保障资金的良好记录：税收缴纳证明：提供投标文件提交截止时间前近半年内任意一月已缴纳的纳税证明或完税证明，依法免税或不需要缴纳税收的 供应商应提供相关证明文件；社保缴纳证明：提供投标文件提交截止时间前近半年内任意一月已缴存的社会保障资金缴费证明或参保证明，3)具有履行合同所必需的设备和专业技术能力（提供承诺函）； 4)参加政府采购活动前三年内在经营活动中没有重大违法记录（提供书面声明）； 5)法律、行政法规规定的其他条件（提供承诺函）；供应商需在项目电子化交易系统中按要求上传相应证明文件并进行电子签章。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年度经审计的财务报告（包含审计报告和审计报告中所涉及的财务报表和报表附注）或提供响应文件提交截止日一年内银行出具的资信证明，注册时间截至响应文件提交截止日不足一年的可提供在工商管理部门备案的公司章程。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法定代表人授权代表参加的，须出具授权书（附法定代表人、被授权人身份证复印件）及被授权人在本单位证明（提供开标前三个月内在本单位的社保缴纳记录），法定代表人参加投标只需提供本人身份证；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资质要求及项目经理要求</w:t>
            </w:r>
          </w:p>
        </w:tc>
        <w:tc>
          <w:tcPr>
            <w:tcW w:type="dxa" w:w="3322"/>
          </w:tcPr>
          <w:p>
            <w:pPr>
              <w:pStyle w:val="null3"/>
            </w:pPr>
            <w:r>
              <w:rPr>
                <w:rFonts w:ascii="仿宋_GB2312" w:hAnsi="仿宋_GB2312" w:cs="仿宋_GB2312" w:eastAsia="仿宋_GB2312"/>
              </w:rPr>
              <w:t>具备市政公用工程二级及以上资质，具有建设行政主管部门颁发的安全生产许可证证书等级： 拟派项目经理需具备市政公用工程二级及以上注册建造师执业资格和有效的安全生产考核合格证书；并提供项目经理无在建证明及近三个月在本单位的社保缴纳证明。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信誉要求：投标人不得为“信用中国”网站（www.creditchina.gov.cn）中列入失 信被执行人和重大税收违法案件当事人名单的投标人，不得为中国政府采购网（w ww.ccgp.gov.cn）政府采购严重违法失信行为记录名单中被财政部门禁止参加政 府采购活动的投标人（处罚决定规定的时间和地域范围内）</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提供中小企业声明函</w:t>
            </w:r>
          </w:p>
        </w:tc>
        <w:tc>
          <w:tcPr>
            <w:tcW w:type="dxa" w:w="1661"/>
          </w:tcPr>
          <w:p>
            <w:pPr>
              <w:pStyle w:val="null3"/>
            </w:pPr>
            <w:r>
              <w:rPr>
                <w:rFonts w:ascii="仿宋_GB2312" w:hAnsi="仿宋_GB2312" w:cs="仿宋_GB2312" w:eastAsia="仿宋_GB2312"/>
              </w:rPr>
              <w:t>中小企业声明函 残疾人福利性单位声明函 供应商资格证明文件.docx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响应文件的完整性</w:t>
            </w:r>
          </w:p>
        </w:tc>
        <w:tc>
          <w:tcPr>
            <w:tcW w:type="dxa" w:w="3322"/>
          </w:tcPr>
          <w:p>
            <w:pPr>
              <w:pStyle w:val="null3"/>
            </w:pPr>
            <w:r>
              <w:rPr>
                <w:rFonts w:ascii="仿宋_GB2312" w:hAnsi="仿宋_GB2312" w:cs="仿宋_GB2312" w:eastAsia="仿宋_GB2312"/>
              </w:rPr>
              <w:t>响应文件没有重大缺项</w:t>
            </w:r>
          </w:p>
        </w:tc>
        <w:tc>
          <w:tcPr>
            <w:tcW w:type="dxa" w:w="1661"/>
          </w:tcPr>
          <w:p>
            <w:pPr>
              <w:pStyle w:val="null3"/>
            </w:pPr>
            <w:r>
              <w:rPr>
                <w:rFonts w:ascii="仿宋_GB2312" w:hAnsi="仿宋_GB2312" w:cs="仿宋_GB2312" w:eastAsia="仿宋_GB2312"/>
              </w:rPr>
              <w:t>技术方案.docx 报价一览表.docx 已标价工程量清单 供应商类似项目业绩一览表.docx 中小企业声明函 技术服务合同条款及其他商务要求应答表 强制优先采购产品承诺函 响应文件封面 残疾人福利性单位声明函 报价函 标的清单 供应商资格证明文件.docx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响应文件的有效性</w:t>
            </w:r>
          </w:p>
        </w:tc>
        <w:tc>
          <w:tcPr>
            <w:tcW w:type="dxa" w:w="3322"/>
          </w:tcPr>
          <w:p>
            <w:pPr>
              <w:pStyle w:val="null3"/>
            </w:pPr>
            <w:r>
              <w:rPr>
                <w:rFonts w:ascii="仿宋_GB2312" w:hAnsi="仿宋_GB2312" w:cs="仿宋_GB2312" w:eastAsia="仿宋_GB2312"/>
              </w:rPr>
              <w:t>响应文件的签署、加盖印章合格、有效；投标有效期与授权期限满足磋商文件规定</w:t>
            </w:r>
          </w:p>
        </w:tc>
        <w:tc>
          <w:tcPr>
            <w:tcW w:type="dxa" w:w="1661"/>
          </w:tcPr>
          <w:p>
            <w:pPr>
              <w:pStyle w:val="null3"/>
            </w:pPr>
            <w:r>
              <w:rPr>
                <w:rFonts w:ascii="仿宋_GB2312" w:hAnsi="仿宋_GB2312" w:cs="仿宋_GB2312" w:eastAsia="仿宋_GB2312"/>
              </w:rPr>
              <w:t>技术方案.docx 报价一览表.docx 已标价工程量清单 供应商类似项目业绩一览表.docx 中小企业声明函 技术服务合同条款及其他商务要求应答表 强制优先采购产品承诺函 响应文件封面 残疾人福利性单位声明函 报价函 标的清单 供应商资格证明文件.docx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响应文件的响应性</w:t>
            </w:r>
          </w:p>
        </w:tc>
        <w:tc>
          <w:tcPr>
            <w:tcW w:type="dxa" w:w="3322"/>
          </w:tcPr>
          <w:p>
            <w:pPr>
              <w:pStyle w:val="null3"/>
            </w:pPr>
            <w:r>
              <w:rPr>
                <w:rFonts w:ascii="仿宋_GB2312" w:hAnsi="仿宋_GB2312" w:cs="仿宋_GB2312" w:eastAsia="仿宋_GB2312"/>
              </w:rPr>
              <w:t>技术服务合同条款及其他商务要求</w:t>
            </w:r>
          </w:p>
        </w:tc>
        <w:tc>
          <w:tcPr>
            <w:tcW w:type="dxa" w:w="1661"/>
          </w:tcPr>
          <w:p>
            <w:pPr>
              <w:pStyle w:val="null3"/>
            </w:pPr>
            <w:r>
              <w:rPr>
                <w:rFonts w:ascii="仿宋_GB2312" w:hAnsi="仿宋_GB2312" w:cs="仿宋_GB2312" w:eastAsia="仿宋_GB2312"/>
              </w:rPr>
              <w:t>响应文件封面 技术服务合同条款及其他商务要求应答表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报价未超过采购预算</w:t>
            </w:r>
          </w:p>
        </w:tc>
        <w:tc>
          <w:tcPr>
            <w:tcW w:type="dxa" w:w="1661"/>
          </w:tcPr>
          <w:p>
            <w:pPr>
              <w:pStyle w:val="null3"/>
            </w:pPr>
            <w:r>
              <w:rPr>
                <w:rFonts w:ascii="仿宋_GB2312" w:hAnsi="仿宋_GB2312" w:cs="仿宋_GB2312" w:eastAsia="仿宋_GB2312"/>
              </w:rPr>
              <w:t>响应文件封面 报价一览表.docx 已标价工程量清单 报价函 标的清单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详细评审40.00分</w:t>
            </w:r>
          </w:p>
          <w:p>
            <w:pPr>
              <w:pStyle w:val="null3"/>
            </w:pPr>
            <w:r>
              <w:rPr>
                <w:rFonts w:ascii="仿宋_GB2312" w:hAnsi="仿宋_GB2312" w:cs="仿宋_GB2312" w:eastAsia="仿宋_GB2312"/>
              </w:rPr>
              <w:t>报价得分60.00分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提供近年类似项目业绩（2023年1 月至今），每提供一份得2分，最高得10 分；没有提供不得分。（业绩需提供项目中标通知书或施工合同盖章复印件）</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后 期 养 护</w:t>
            </w:r>
          </w:p>
        </w:tc>
        <w:tc>
          <w:tcPr>
            <w:tcW w:type="dxa" w:w="2492"/>
          </w:tcPr>
          <w:p>
            <w:pPr>
              <w:pStyle w:val="null3"/>
            </w:pPr>
            <w:r>
              <w:rPr>
                <w:rFonts w:ascii="仿宋_GB2312" w:hAnsi="仿宋_GB2312" w:cs="仿宋_GB2312" w:eastAsia="仿宋_GB2312"/>
              </w:rPr>
              <w:t>提供针对本项目详细的养护措施承诺方案。包含但不限于：（1）日常维护；（2）应急响应速度及措施（3）质量保证承诺等；；以上3项每满足一项得2分，最高得6分。每有一处内容存在缺陷扣1分，扣完为止；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施工组织设计</w:t>
            </w:r>
          </w:p>
        </w:tc>
        <w:tc>
          <w:tcPr>
            <w:tcW w:type="dxa" w:w="2492"/>
          </w:tcPr>
          <w:p>
            <w:pPr>
              <w:pStyle w:val="null3"/>
            </w:pPr>
            <w:r>
              <w:rPr>
                <w:rFonts w:ascii="仿宋_GB2312" w:hAnsi="仿宋_GB2312" w:cs="仿宋_GB2312" w:eastAsia="仿宋_GB2312"/>
              </w:rPr>
              <w:t>（1）确保工程质量的技术性组织措施；计0-2 分。 （2）确保安全生产的技术性组织措施；计0-2 分。 （3）确保文明施工的技术性组织措施及环境保护措施（包含治污减霾措施）；计0-2 分。 （4）确保工期的技术性组织措施；计0-2 分。 （5）施工方案和项目经理部组成人员；计0-2 分。 （6）施工机械配备和材料投入计划；计0-2 分。 （7）施工进度表或网络施工图；计0-2 分。 （8）劳动力安排计划及劳务分配情况表；计0-2 分。 （9）施工部署及总平面布置；计0-2 分。 （10）新技术、新产品、新工艺、新材料应用。计0-2 分。 备注：若缺项，则该项得 0 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针对本次项目招标提出合理化建议，以利于确保质量、加快进度或节省投资。方案内容充分且针对性强的计4-2分，方案内容叙述简单且无针对性的计0-2分，未提供的不计分。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的计算方法为：价格分应当采用低价优先法计算，即满足竞争性磋商响应文件要求且最后报价最低的供应商价格为评标基准价，其价格分为满分。投标人的价格分统一按照下列公式计算：报价得分=（磋商基准价/最后磋商报价）×报价权值×100</w:t>
            </w:r>
          </w:p>
        </w:tc>
        <w:tc>
          <w:tcPr>
            <w:tcW w:type="dxa" w:w="831"/>
          </w:tcPr>
          <w:p>
            <w:pPr>
              <w:pStyle w:val="null3"/>
              <w:jc w:val="right"/>
            </w:pPr>
            <w:r>
              <w:rPr>
                <w:rFonts w:ascii="仿宋_GB2312" w:hAnsi="仿宋_GB2312" w:cs="仿宋_GB2312" w:eastAsia="仿宋_GB2312"/>
              </w:rPr>
              <w:t>60.0000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详见附件：报价一览表.docx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详见附件：合同范本.docx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