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版本号：HY-ZB-013-2026.1B120260408001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2025年省级林业草原改革发展（冬枣低产低效林改造）项目(二次)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HY-ZB-013-2026.1B1</w:t>
      </w:r>
      <w:r>
        <w:br/>
      </w:r>
      <w:r>
        <w:br/>
      </w:r>
      <w:r>
        <w:br/>
      </w:r>
    </w:p>
    <w:p>
      <w:pPr>
        <w:pStyle w:val="null3"/>
        <w:jc w:val="center"/>
        <w:outlineLvl w:val="2"/>
      </w:pPr>
      <w:r>
        <w:rPr>
          <w:rFonts w:ascii="仿宋_GB2312" w:hAnsi="仿宋_GB2312" w:cs="仿宋_GB2312" w:eastAsia="仿宋_GB2312"/>
          <w:sz w:val="28"/>
          <w:b/>
        </w:rPr>
        <w:t>大荔县红枣产业发展中心</w:t>
      </w:r>
    </w:p>
    <w:p>
      <w:pPr>
        <w:pStyle w:val="null3"/>
        <w:jc w:val="center"/>
        <w:outlineLvl w:val="2"/>
      </w:pPr>
      <w:r>
        <w:rPr>
          <w:rFonts w:ascii="仿宋_GB2312" w:hAnsi="仿宋_GB2312" w:cs="仿宋_GB2312" w:eastAsia="仿宋_GB2312"/>
          <w:sz w:val="28"/>
          <w:b/>
        </w:rPr>
        <w:t>陕西翰元工程咨询有限公司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陕西翰元工程咨询有限公司</w:t>
      </w:r>
      <w:r>
        <w:rPr>
          <w:rFonts w:ascii="仿宋_GB2312" w:hAnsi="仿宋_GB2312" w:cs="仿宋_GB2312" w:eastAsia="仿宋_GB2312"/>
        </w:rPr>
        <w:t>（以下简称“代理机构”）受</w:t>
      </w:r>
      <w:r>
        <w:rPr>
          <w:rFonts w:ascii="仿宋_GB2312" w:hAnsi="仿宋_GB2312" w:cs="仿宋_GB2312" w:eastAsia="仿宋_GB2312"/>
        </w:rPr>
        <w:t>大荔县红枣产业发展中心</w:t>
      </w:r>
      <w:r>
        <w:rPr>
          <w:rFonts w:ascii="仿宋_GB2312" w:hAnsi="仿宋_GB2312" w:cs="仿宋_GB2312" w:eastAsia="仿宋_GB2312"/>
        </w:rPr>
        <w:t>委托，拟对</w:t>
      </w:r>
      <w:r>
        <w:rPr>
          <w:rFonts w:ascii="仿宋_GB2312" w:hAnsi="仿宋_GB2312" w:cs="仿宋_GB2312" w:eastAsia="仿宋_GB2312"/>
        </w:rPr>
        <w:t>2025年省级林业草原改革发展（冬枣低产低效林改造）项目(二次)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HY-ZB-013-2026.1B1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2025年省级林业草原改革发展（冬枣低产低效林改造）项目(二次)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对大荔县两宜镇千亩冬枣智慧园区、赵渡镇朝邑农场、安仁镇伏坡村共1500亩低产低效林进行改造。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采购包1（两宜镇低产低效林改造服务）：属于专门面向中小企业采购。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1、具有独立承担民事责任的能力：具有独立承担民事责任的能力的企业法人、其他组织或者自然人。</w:t>
      </w:r>
    </w:p>
    <w:p>
      <w:pPr>
        <w:pStyle w:val="null3"/>
      </w:pPr>
      <w:r>
        <w:rPr>
          <w:rFonts w:ascii="仿宋_GB2312" w:hAnsi="仿宋_GB2312" w:cs="仿宋_GB2312" w:eastAsia="仿宋_GB2312"/>
        </w:rPr>
        <w:t>2、供应商应提供健全的财务会计制度的证明材料：1.提供2024年度或2025年度完整审计报告，成立时间至提交投标文件截止时间不足1年的提供开标前六个月内基本存款账户开户银行出具的资信证明。2.社会保障资金缴纳证明：提供投标文件递交截止时间前12个月内任意一个月的社保缴费凭据或社保机构开具的社会保险参保缴费情况证明；依法不需要缴纳社会保障资金的供应商应提供相关文件证明。3.税收缴纳证明：提供投标文件递交截止 时间前12个月内任意一个月的缴费凭据；依法免税的应提供相关文件证明。供应商需在项目电子化交易系统中按要求上传相应证明文件并进行电子签章。供应商需在项目电子化交易系统中按要求上传相应证明文件并进行电子签章。</w:t>
      </w:r>
    </w:p>
    <w:p>
      <w:pPr>
        <w:pStyle w:val="null3"/>
      </w:pPr>
      <w:r>
        <w:rPr>
          <w:rFonts w:ascii="仿宋_GB2312" w:hAnsi="仿宋_GB2312" w:cs="仿宋_GB2312" w:eastAsia="仿宋_GB2312"/>
        </w:rPr>
        <w:t>3、具有履行合同的声明：提供具有履行本合同所必需的设备和专业技术能力的说明或承诺；</w:t>
      </w:r>
    </w:p>
    <w:p>
      <w:pPr>
        <w:pStyle w:val="null3"/>
      </w:pPr>
      <w:r>
        <w:rPr>
          <w:rFonts w:ascii="仿宋_GB2312" w:hAnsi="仿宋_GB2312" w:cs="仿宋_GB2312" w:eastAsia="仿宋_GB2312"/>
        </w:rPr>
        <w:t>4、无重大违法记录书面声明：参加政府采购活动前三年内在经营活动中无重大违法记录的书面声明；</w:t>
      </w:r>
    </w:p>
    <w:p>
      <w:pPr>
        <w:pStyle w:val="null3"/>
      </w:pPr>
      <w:r>
        <w:rPr>
          <w:rFonts w:ascii="仿宋_GB2312" w:hAnsi="仿宋_GB2312" w:cs="仿宋_GB2312" w:eastAsia="仿宋_GB2312"/>
        </w:rPr>
        <w:t>5、法定代表人授权书或法定代表人身份证明书：为企业法定代表人出具，信息真实合法有效，附有法定代表人和被委托人身份证复印件且人证相符（若法定代表人直接参加投标会则须提供法定代表人身份证明及法定代表人身份证复印件）；</w:t>
      </w:r>
    </w:p>
    <w:p>
      <w:pPr>
        <w:pStyle w:val="null3"/>
      </w:pPr>
      <w:r>
        <w:rPr>
          <w:rFonts w:ascii="仿宋_GB2312" w:hAnsi="仿宋_GB2312" w:cs="仿宋_GB2312" w:eastAsia="仿宋_GB2312"/>
        </w:rPr>
        <w:t>6、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7、管理关系：单位负责人为同一人或者存在直接控股、管理关系的不同供应商，不得参加同一合同项下的政府采购活动。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大荔县红枣产业发展中心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大荔县城关镇南关路1号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大荔县红枣产业发展中心经办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15336126382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陕西翰元工程咨询有限公司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大荔县西城街道办西二环北段551号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李沙沙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13093977939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lt;招标代理服务收费管理暂行办法&gt;的通知》（计价格【2002】1980号）及《国家发改委关于降低部分建设项目收费标准规范收费行为等有关问题的通知》（发改价格[2011]534号）规定按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大荔县红枣产业发展中心</w:t>
      </w:r>
      <w:r>
        <w:rPr>
          <w:rFonts w:ascii="仿宋_GB2312" w:hAnsi="仿宋_GB2312" w:cs="仿宋_GB2312" w:eastAsia="仿宋_GB2312"/>
        </w:rPr>
        <w:t>和</w:t>
      </w:r>
      <w:r>
        <w:rPr>
          <w:rFonts w:ascii="仿宋_GB2312" w:hAnsi="仿宋_GB2312" w:cs="仿宋_GB2312" w:eastAsia="仿宋_GB2312"/>
        </w:rPr>
        <w:t>陕西翰元工程咨询有限公司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大荔县红枣产业发展中心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陕西翰元工程咨询有限公司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大荔县红枣产业发展中心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陕西翰元工程咨询有限公司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陕西翰元工程咨询有限公司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陕西翰元工程咨询有限公司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陕西翰元工程咨询有限公司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联系人：李沙沙</w:t>
      </w:r>
    </w:p>
    <w:p>
      <w:pPr>
        <w:pStyle w:val="null3"/>
      </w:pPr>
      <w:r>
        <w:rPr>
          <w:rFonts w:ascii="仿宋_GB2312" w:hAnsi="仿宋_GB2312" w:cs="仿宋_GB2312" w:eastAsia="仿宋_GB2312"/>
        </w:rPr>
        <w:t>联系电话：13093977939</w:t>
      </w:r>
    </w:p>
    <w:p>
      <w:pPr>
        <w:pStyle w:val="null3"/>
      </w:pPr>
      <w:r>
        <w:rPr>
          <w:rFonts w:ascii="仿宋_GB2312" w:hAnsi="仿宋_GB2312" w:cs="仿宋_GB2312" w:eastAsia="仿宋_GB2312"/>
        </w:rPr>
        <w:t>地址：大荔县西城街道办西二环北段551号</w:t>
      </w:r>
    </w:p>
    <w:p>
      <w:pPr>
        <w:pStyle w:val="null3"/>
      </w:pPr>
      <w:r>
        <w:rPr>
          <w:rFonts w:ascii="仿宋_GB2312" w:hAnsi="仿宋_GB2312" w:cs="仿宋_GB2312" w:eastAsia="仿宋_GB2312"/>
        </w:rPr>
        <w:t>邮编：715100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对大荔县两宜镇千亩冬枣智慧园区、赵渡镇朝邑农场、安仁镇伏坡村共1500亩低产低效林进行改造。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两宜镇低产低效林改造服务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标的名称：两宜镇低产低效林改造服务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1"/>
                <w:b/>
              </w:rPr>
              <w:t>一、项目建设内容</w:t>
            </w:r>
          </w:p>
          <w:p>
            <w:pPr>
              <w:pStyle w:val="null3"/>
              <w:ind w:firstLine="480"/>
              <w:jc w:val="both"/>
            </w:pPr>
            <w:r>
              <w:rPr>
                <w:rFonts w:ascii="仿宋_GB2312" w:hAnsi="仿宋_GB2312" w:cs="仿宋_GB2312" w:eastAsia="仿宋_GB2312"/>
                <w:sz w:val="21"/>
              </w:rPr>
              <w:t>对大荔县两宜镇千亩冬枣智慧园区共</w:t>
            </w:r>
            <w:r>
              <w:rPr>
                <w:rFonts w:ascii="仿宋_GB2312" w:hAnsi="仿宋_GB2312" w:cs="仿宋_GB2312" w:eastAsia="仿宋_GB2312"/>
                <w:sz w:val="21"/>
              </w:rPr>
              <w:t>5</w:t>
            </w:r>
            <w:r>
              <w:rPr>
                <w:rFonts w:ascii="仿宋_GB2312" w:hAnsi="仿宋_GB2312" w:cs="仿宋_GB2312" w:eastAsia="仿宋_GB2312"/>
                <w:sz w:val="21"/>
              </w:rPr>
              <w:t>00亩低产低效林进行改造。</w:t>
            </w:r>
          </w:p>
          <w:p>
            <w:pPr>
              <w:pStyle w:val="null3"/>
              <w:ind w:firstLine="480"/>
              <w:jc w:val="both"/>
            </w:pPr>
            <w:r>
              <w:rPr>
                <w:rFonts w:ascii="仿宋_GB2312" w:hAnsi="仿宋_GB2312" w:cs="仿宋_GB2312" w:eastAsia="仿宋_GB2312"/>
                <w:sz w:val="21"/>
              </w:rPr>
              <w:t>项目建设内容为：</w:t>
            </w:r>
            <w:r>
              <w:rPr>
                <w:rFonts w:ascii="仿宋_GB2312" w:hAnsi="仿宋_GB2312" w:cs="仿宋_GB2312" w:eastAsia="仿宋_GB2312"/>
                <w:sz w:val="21"/>
              </w:rPr>
              <w:t>两宜镇低产低效林改造</w:t>
            </w:r>
            <w:r>
              <w:rPr>
                <w:rFonts w:ascii="仿宋_GB2312" w:hAnsi="仿宋_GB2312" w:cs="仿宋_GB2312" w:eastAsia="仿宋_GB2312"/>
                <w:sz w:val="21"/>
              </w:rPr>
              <w:t>500亩；改造方式为土壤改良、病虫害防治，其中土壤改良500亩、生物防控500亩（500亩地同时开展土壤改良和冬枣病虫害绿色防控）。具体包括：有机菌肥、生物防控物资（苏云金杆菌、苦参碱、枯草芽孢杆菌、哈茨木霉菌、光合细菌）、粘虫板、物联网驱鸟杀虫器、太阳能诱捕杀虫器。</w:t>
            </w:r>
          </w:p>
          <w:p>
            <w:pPr>
              <w:pStyle w:val="null3"/>
              <w:jc w:val="center"/>
            </w:pPr>
            <w:r>
              <w:rPr>
                <w:rFonts w:ascii="仿宋_GB2312" w:hAnsi="仿宋_GB2312" w:cs="仿宋_GB2312" w:eastAsia="仿宋_GB2312"/>
                <w:sz w:val="28"/>
                <w:b/>
              </w:rPr>
              <w:t>项目建设内容统计表</w:t>
            </w:r>
          </w:p>
          <w:tbl>
            <w:tblPr>
              <w:tblBorders>
                <w:top w:val="none" w:color="000000" w:sz="4"/>
                <w:left w:val="none" w:color="000000" w:sz="4"/>
                <w:bottom w:val="none" w:color="000000" w:sz="4"/>
                <w:right w:val="none" w:color="000000" w:sz="4"/>
                <w:insideH w:val="none"/>
                <w:insideV w:val="none"/>
              </w:tblBorders>
            </w:tblPr>
            <w:tblGrid>
              <w:gridCol w:w="365"/>
              <w:gridCol w:w="365"/>
              <w:gridCol w:w="365"/>
              <w:gridCol w:w="365"/>
              <w:gridCol w:w="365"/>
              <w:gridCol w:w="365"/>
              <w:gridCol w:w="365"/>
            </w:tblGrid>
            <w:tr>
              <w:tc>
                <w:tcPr>
                  <w:tcW w:type="dxa" w:w="36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乡</w:t>
                  </w:r>
                  <w:r>
                    <w:rPr>
                      <w:rFonts w:ascii="仿宋_GB2312" w:hAnsi="仿宋_GB2312" w:cs="仿宋_GB2312" w:eastAsia="仿宋_GB2312"/>
                      <w:sz w:val="20"/>
                    </w:rPr>
                    <w:t>(镇)</w:t>
                  </w:r>
                </w:p>
              </w:tc>
              <w:tc>
                <w:tcPr>
                  <w:tcW w:type="dxa" w:w="36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行政村</w:t>
                  </w:r>
                </w:p>
              </w:tc>
              <w:tc>
                <w:tcPr>
                  <w:tcW w:type="dxa" w:w="36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小班总面积（亩）</w:t>
                  </w:r>
                </w:p>
              </w:tc>
              <w:tc>
                <w:tcPr>
                  <w:tcW w:type="dxa" w:w="36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有效面积（亩）</w:t>
                  </w:r>
                </w:p>
              </w:tc>
              <w:tc>
                <w:tcPr>
                  <w:tcW w:type="dxa" w:w="1095"/>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低产低效林改造</w:t>
                  </w:r>
                </w:p>
              </w:tc>
            </w:tr>
            <w:tr>
              <w:tc>
                <w:tcPr>
                  <w:tcW w:type="dxa" w:w="365"/>
                  <w:vMerge/>
                  <w:tcBorders>
                    <w:top w:val="single" w:color="000000" w:sz="4"/>
                    <w:left w:val="single" w:color="000000" w:sz="4"/>
                    <w:bottom w:val="single" w:color="000000" w:sz="4"/>
                    <w:right w:val="single" w:color="000000" w:sz="4"/>
                  </w:tcBorders>
                </w:tcPr>
                <w:p/>
              </w:tc>
              <w:tc>
                <w:tcPr>
                  <w:tcW w:type="dxa" w:w="365"/>
                  <w:vMerge/>
                  <w:tcBorders>
                    <w:top w:val="single" w:color="000000" w:sz="4"/>
                    <w:left w:val="none" w:color="000000" w:sz="4"/>
                    <w:bottom w:val="single" w:color="000000" w:sz="4"/>
                    <w:right w:val="single" w:color="000000" w:sz="4"/>
                  </w:tcBorders>
                </w:tcPr>
                <w:p/>
              </w:tc>
              <w:tc>
                <w:tcPr>
                  <w:tcW w:type="dxa" w:w="365"/>
                  <w:vMerge/>
                  <w:tcBorders>
                    <w:top w:val="single" w:color="000000" w:sz="4"/>
                    <w:left w:val="none" w:color="000000" w:sz="4"/>
                    <w:bottom w:val="single" w:color="000000" w:sz="4"/>
                    <w:right w:val="single" w:color="000000" w:sz="4"/>
                  </w:tcBorders>
                </w:tcPr>
                <w:p/>
              </w:tc>
              <w:tc>
                <w:tcPr>
                  <w:tcW w:type="dxa" w:w="365"/>
                  <w:vMerge/>
                  <w:tcBorders>
                    <w:top w:val="singl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小计</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土壤改良</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冬枣病虫害绿色防控</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两宜镇</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千亩冬枣智慧园区</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529</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w:t>
                  </w:r>
                </w:p>
              </w:tc>
            </w:tr>
          </w:tbl>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、主要技术措施</w:t>
            </w:r>
          </w:p>
          <w:p>
            <w:pPr>
              <w:pStyle w:val="null3"/>
              <w:ind w:firstLine="480"/>
              <w:jc w:val="both"/>
            </w:pPr>
            <w:r>
              <w:rPr>
                <w:rFonts w:ascii="仿宋_GB2312" w:hAnsi="仿宋_GB2312" w:cs="仿宋_GB2312" w:eastAsia="仿宋_GB2312"/>
                <w:sz w:val="21"/>
              </w:rPr>
              <w:t>本项目在现有的提升土壤有机质含量和冬枣病虫害绿色防控成果的基础上，以</w:t>
            </w:r>
            <w:r>
              <w:rPr>
                <w:rFonts w:ascii="仿宋_GB2312" w:hAnsi="仿宋_GB2312" w:cs="仿宋_GB2312" w:eastAsia="仿宋_GB2312"/>
                <w:sz w:val="21"/>
              </w:rPr>
              <w:t>“提升低产低效林亩产量和商品率，增加农民收益”为目标，通过采取“挂粘虫板、诱虫灯、生物技术防控”等技术手段提升病虫害防控效果；同时通过运用冬枣精准施肥APP获得施肥配方，增加有机肥施肥量等综合管理方法提升冬枣品质，增加枣农效益。</w:t>
            </w:r>
          </w:p>
          <w:p>
            <w:pPr>
              <w:pStyle w:val="null3"/>
              <w:jc w:val="both"/>
            </w:pPr>
            <w:r>
              <w:rPr>
                <w:rFonts w:ascii="仿宋_GB2312" w:hAnsi="仿宋_GB2312" w:cs="仿宋_GB2312" w:eastAsia="仿宋_GB2312"/>
                <w:sz w:val="21"/>
              </w:rPr>
              <w:t>项目建设技术路线路</w:t>
            </w:r>
          </w:p>
          <w:p>
            <w:pPr>
              <w:pStyle w:val="null3"/>
              <w:jc w:val="both"/>
            </w:pPr>
            <w:r>
              <w:drawing>
                <wp:inline distT="0" distR="0" distB="0" distL="0">
                  <wp:extent cx="1621155" cy="1191945"/>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1191945"/>
                          </a:xfrm>
                          <a:prstGeom prst="rect">
                            <a:avLst/>
                          </a:prstGeom>
                        </pic:spPr>
                      </pic:pic>
                    </a:graphicData>
                  </a:graphic>
                </wp:inline>
              </w:drawing>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）示范园土壤改良</w:t>
            </w:r>
          </w:p>
          <w:p>
            <w:pPr>
              <w:pStyle w:val="null3"/>
              <w:jc w:val="both"/>
            </w:pPr>
            <w:r>
              <w:rPr>
                <w:rFonts w:ascii="仿宋_GB2312" w:hAnsi="仿宋_GB2312" w:cs="仿宋_GB2312" w:eastAsia="仿宋_GB2312"/>
                <w:sz w:val="21"/>
              </w:rPr>
              <w:t>对项目区内土壤瘠薄、沙化严重、有机质含量低的地区，进行土壤改良。主要采取的方式为：</w:t>
            </w:r>
          </w:p>
          <w:p>
            <w:pPr>
              <w:pStyle w:val="null3"/>
              <w:jc w:val="both"/>
            </w:pPr>
            <w:r>
              <w:rPr>
                <w:rFonts w:ascii="仿宋_GB2312" w:hAnsi="仿宋_GB2312" w:cs="仿宋_GB2312" w:eastAsia="仿宋_GB2312"/>
                <w:sz w:val="21"/>
              </w:rPr>
              <w:t>增施有机菌肥进行改良。配合耕作改良、秸秆还田、改善土壤的水、肥、气、热状况</w:t>
            </w:r>
            <w:r>
              <w:rPr>
                <w:rFonts w:ascii="仿宋_GB2312" w:hAnsi="仿宋_GB2312" w:cs="仿宋_GB2312" w:eastAsia="仿宋_GB2312"/>
                <w:sz w:val="21"/>
              </w:rPr>
              <w:t>,</w:t>
            </w:r>
            <w:r>
              <w:rPr>
                <w:rFonts w:ascii="仿宋_GB2312" w:hAnsi="仿宋_GB2312" w:cs="仿宋_GB2312" w:eastAsia="仿宋_GB2312"/>
                <w:sz w:val="21"/>
              </w:rPr>
              <w:t>为冬枣生长创造适宜的土壤环境。每亩施有机菌肥</w:t>
            </w:r>
            <w:r>
              <w:rPr>
                <w:rFonts w:ascii="仿宋_GB2312" w:hAnsi="仿宋_GB2312" w:cs="仿宋_GB2312" w:eastAsia="仿宋_GB2312"/>
                <w:sz w:val="21"/>
              </w:rPr>
              <w:t>350</w:t>
            </w:r>
            <w:r>
              <w:rPr>
                <w:rFonts w:ascii="仿宋_GB2312" w:hAnsi="仿宋_GB2312" w:cs="仿宋_GB2312" w:eastAsia="仿宋_GB2312"/>
                <w:sz w:val="21"/>
              </w:rPr>
              <w:t>公斤。</w:t>
            </w:r>
          </w:p>
          <w:p>
            <w:pPr>
              <w:pStyle w:val="null3"/>
              <w:jc w:val="both"/>
            </w:pPr>
            <w:r>
              <w:rPr>
                <w:rFonts w:ascii="仿宋_GB2312" w:hAnsi="仿宋_GB2312" w:cs="仿宋_GB2312" w:eastAsia="仿宋_GB2312"/>
                <w:sz w:val="21"/>
              </w:rPr>
              <w:t>冬枣低产低效林改造在做好土壤改良的同时，适时开展科学管理，主要包括土壤管理、增施肥料、加强灌溉、病虫害防治等内容，保证枣树健康生长，其主要技术措施为：</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、土壤管理：深耕</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次，深度</w:t>
            </w:r>
            <w:r>
              <w:rPr>
                <w:rFonts w:ascii="仿宋_GB2312" w:hAnsi="仿宋_GB2312" w:cs="仿宋_GB2312" w:eastAsia="仿宋_GB2312"/>
                <w:sz w:val="21"/>
              </w:rPr>
              <w:t>60</w:t>
            </w:r>
            <w:r>
              <w:rPr>
                <w:rFonts w:ascii="仿宋_GB2312" w:hAnsi="仿宋_GB2312" w:cs="仿宋_GB2312" w:eastAsia="仿宋_GB2312"/>
                <w:sz w:val="21"/>
              </w:rPr>
              <w:t>—</w:t>
            </w:r>
            <w:r>
              <w:rPr>
                <w:rFonts w:ascii="仿宋_GB2312" w:hAnsi="仿宋_GB2312" w:cs="仿宋_GB2312" w:eastAsia="仿宋_GB2312"/>
                <w:sz w:val="21"/>
              </w:rPr>
              <w:t>80cm</w:t>
            </w:r>
            <w:r>
              <w:rPr>
                <w:rFonts w:ascii="仿宋_GB2312" w:hAnsi="仿宋_GB2312" w:cs="仿宋_GB2312" w:eastAsia="仿宋_GB2312"/>
                <w:sz w:val="21"/>
              </w:rPr>
              <w:t>。生长季节中耕除草</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次，深度</w:t>
            </w: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20cm</w:t>
            </w:r>
            <w:r>
              <w:rPr>
                <w:rFonts w:ascii="仿宋_GB2312" w:hAnsi="仿宋_GB2312" w:cs="仿宋_GB2312" w:eastAsia="仿宋_GB2312"/>
                <w:sz w:val="21"/>
              </w:rPr>
              <w:t>。其范围以树干为中心，达到树冠外缘，使园地经常保持无杂草。</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、基肥与追肥：秋未或早春结合复垦施入基肥，以厩肥、人粪尿为主，可在树下挖深、宽各</w:t>
            </w:r>
            <w:r>
              <w:rPr>
                <w:rFonts w:ascii="仿宋_GB2312" w:hAnsi="仿宋_GB2312" w:cs="仿宋_GB2312" w:eastAsia="仿宋_GB2312"/>
                <w:sz w:val="21"/>
              </w:rPr>
              <w:t>25cm</w:t>
            </w:r>
            <w:r>
              <w:rPr>
                <w:rFonts w:ascii="仿宋_GB2312" w:hAnsi="仿宋_GB2312" w:cs="仿宋_GB2312" w:eastAsia="仿宋_GB2312"/>
                <w:sz w:val="21"/>
              </w:rPr>
              <w:t>的环形沟槽，施后覆土。花前花后（</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月）视其树势情况追施氮磷复合肥和速效氮肥，施法是在树冠下挖穴状和辐射状沟槽，深</w:t>
            </w: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25cm</w:t>
            </w:r>
            <w:r>
              <w:rPr>
                <w:rFonts w:ascii="仿宋_GB2312" w:hAnsi="仿宋_GB2312" w:cs="仿宋_GB2312" w:eastAsia="仿宋_GB2312"/>
                <w:sz w:val="21"/>
              </w:rPr>
              <w:t>，施后覆盖。施肥量可按树冠投影面积计算，每年施基肥</w:t>
            </w:r>
            <w:r>
              <w:rPr>
                <w:rFonts w:ascii="仿宋_GB2312" w:hAnsi="仿宋_GB2312" w:cs="仿宋_GB2312" w:eastAsia="仿宋_GB2312"/>
                <w:sz w:val="21"/>
              </w:rPr>
              <w:t>5km/m2</w:t>
            </w:r>
            <w:r>
              <w:rPr>
                <w:rFonts w:ascii="仿宋_GB2312" w:hAnsi="仿宋_GB2312" w:cs="仿宋_GB2312" w:eastAsia="仿宋_GB2312"/>
                <w:sz w:val="21"/>
              </w:rPr>
              <w:t>，复合肥（磷酸二铵）</w:t>
            </w:r>
            <w:r>
              <w:rPr>
                <w:rFonts w:ascii="仿宋_GB2312" w:hAnsi="仿宋_GB2312" w:cs="仿宋_GB2312" w:eastAsia="仿宋_GB2312"/>
                <w:sz w:val="21"/>
              </w:rPr>
              <w:t>75g/m2</w:t>
            </w:r>
            <w:r>
              <w:rPr>
                <w:rFonts w:ascii="仿宋_GB2312" w:hAnsi="仿宋_GB2312" w:cs="仿宋_GB2312" w:eastAsia="仿宋_GB2312"/>
                <w:sz w:val="21"/>
              </w:rPr>
              <w:t>，速效肥（尿素）</w:t>
            </w:r>
            <w:r>
              <w:rPr>
                <w:rFonts w:ascii="仿宋_GB2312" w:hAnsi="仿宋_GB2312" w:cs="仿宋_GB2312" w:eastAsia="仿宋_GB2312"/>
                <w:sz w:val="21"/>
              </w:rPr>
              <w:t>50 g/m2</w:t>
            </w:r>
            <w:r>
              <w:rPr>
                <w:rFonts w:ascii="仿宋_GB2312" w:hAnsi="仿宋_GB2312" w:cs="仿宋_GB2312" w:eastAsia="仿宋_GB2312"/>
                <w:sz w:val="21"/>
              </w:rPr>
              <w:t>。肥源不足时，可在园内间作碗豆、毛苕子等绿肥作物，于花蕾期翻入土中。</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、花期喷水：枣树盛花期（</w:t>
            </w:r>
            <w:r>
              <w:rPr>
                <w:rFonts w:ascii="仿宋_GB2312" w:hAnsi="仿宋_GB2312" w:cs="仿宋_GB2312" w:eastAsia="仿宋_GB2312"/>
                <w:sz w:val="21"/>
              </w:rPr>
              <w:t>40%</w:t>
            </w:r>
            <w:r>
              <w:rPr>
                <w:rFonts w:ascii="仿宋_GB2312" w:hAnsi="仿宋_GB2312" w:cs="仿宋_GB2312" w:eastAsia="仿宋_GB2312"/>
                <w:sz w:val="21"/>
              </w:rPr>
              <w:t>—</w:t>
            </w:r>
            <w:r>
              <w:rPr>
                <w:rFonts w:ascii="仿宋_GB2312" w:hAnsi="仿宋_GB2312" w:cs="仿宋_GB2312" w:eastAsia="仿宋_GB2312"/>
                <w:sz w:val="21"/>
              </w:rPr>
              <w:t>50%</w:t>
            </w:r>
            <w:r>
              <w:rPr>
                <w:rFonts w:ascii="仿宋_GB2312" w:hAnsi="仿宋_GB2312" w:cs="仿宋_GB2312" w:eastAsia="仿宋_GB2312"/>
                <w:sz w:val="21"/>
              </w:rPr>
              <w:t>花开放）每隔</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天叶面喷水一次，连喷</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次，喷水时间以傍晚为宜。</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、开甲：也称环状剥皮，目的是切断韧皮部，防止养分向根部运输。在开花盛期，选择天气晴朗无风时进行。开甲宽度为：初结果小树、弱树为</w:t>
            </w:r>
            <w:r>
              <w:rPr>
                <w:rFonts w:ascii="仿宋_GB2312" w:hAnsi="仿宋_GB2312" w:cs="仿宋_GB2312" w:eastAsia="仿宋_GB2312"/>
                <w:sz w:val="21"/>
              </w:rPr>
              <w:t>0.2</w:t>
            </w:r>
            <w:r>
              <w:rPr>
                <w:rFonts w:ascii="仿宋_GB2312" w:hAnsi="仿宋_GB2312" w:cs="仿宋_GB2312" w:eastAsia="仿宋_GB2312"/>
                <w:sz w:val="21"/>
              </w:rPr>
              <w:t>—</w:t>
            </w:r>
            <w:r>
              <w:rPr>
                <w:rFonts w:ascii="仿宋_GB2312" w:hAnsi="仿宋_GB2312" w:cs="仿宋_GB2312" w:eastAsia="仿宋_GB2312"/>
                <w:sz w:val="21"/>
              </w:rPr>
              <w:t>0.3cm</w:t>
            </w:r>
            <w:r>
              <w:rPr>
                <w:rFonts w:ascii="仿宋_GB2312" w:hAnsi="仿宋_GB2312" w:cs="仿宋_GB2312" w:eastAsia="仿宋_GB2312"/>
                <w:sz w:val="21"/>
              </w:rPr>
              <w:t>；大树、壮树</w:t>
            </w:r>
            <w:r>
              <w:rPr>
                <w:rFonts w:ascii="仿宋_GB2312" w:hAnsi="仿宋_GB2312" w:cs="仿宋_GB2312" w:eastAsia="仿宋_GB2312"/>
                <w:sz w:val="21"/>
              </w:rPr>
              <w:t>0.5</w:t>
            </w:r>
            <w:r>
              <w:rPr>
                <w:rFonts w:ascii="仿宋_GB2312" w:hAnsi="仿宋_GB2312" w:cs="仿宋_GB2312" w:eastAsia="仿宋_GB2312"/>
                <w:sz w:val="21"/>
              </w:rPr>
              <w:t>—</w:t>
            </w:r>
            <w:r>
              <w:rPr>
                <w:rFonts w:ascii="仿宋_GB2312" w:hAnsi="仿宋_GB2312" w:cs="仿宋_GB2312" w:eastAsia="仿宋_GB2312"/>
                <w:sz w:val="21"/>
              </w:rPr>
              <w:t>0.7cm</w:t>
            </w:r>
            <w:r>
              <w:rPr>
                <w:rFonts w:ascii="仿宋_GB2312" w:hAnsi="仿宋_GB2312" w:cs="仿宋_GB2312" w:eastAsia="仿宋_GB2312"/>
                <w:sz w:val="21"/>
              </w:rPr>
              <w:t>左右。</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、摘心：对新生枣头进行第一次摘心，开甲前对所有枣头全部摘心，挂果后也可进行枣吊摘心，控制营养生长。</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、拉枝：对生长较直立的旺枝，要拉开角度，缓和生长势，促进坐果。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）物料量</w:t>
            </w:r>
          </w:p>
          <w:p>
            <w:pPr>
              <w:pStyle w:val="null3"/>
              <w:jc w:val="both"/>
            </w:pPr>
            <w:r>
              <w:rPr>
                <w:rFonts w:ascii="仿宋_GB2312" w:hAnsi="仿宋_GB2312" w:cs="仿宋_GB2312" w:eastAsia="仿宋_GB2312"/>
                <w:sz w:val="21"/>
              </w:rPr>
              <w:t>为配合项目实施，需购买生物菌肥和生物防控物资。有机菌肥的技术参数是：</w:t>
            </w:r>
            <w:r>
              <w:rPr>
                <w:rFonts w:ascii="仿宋_GB2312" w:hAnsi="仿宋_GB2312" w:cs="仿宋_GB2312" w:eastAsia="仿宋_GB2312"/>
                <w:sz w:val="21"/>
              </w:rPr>
              <w:t>1</w:t>
            </w:r>
            <w:r>
              <w:rPr>
                <w:rFonts w:ascii="仿宋_GB2312" w:hAnsi="仿宋_GB2312" w:cs="仿宋_GB2312" w:eastAsia="仿宋_GB2312"/>
                <w:sz w:val="21"/>
              </w:rPr>
              <w:t>、有机质含量≥</w:t>
            </w:r>
            <w:r>
              <w:rPr>
                <w:rFonts w:ascii="仿宋_GB2312" w:hAnsi="仿宋_GB2312" w:cs="仿宋_GB2312" w:eastAsia="仿宋_GB2312"/>
                <w:sz w:val="21"/>
              </w:rPr>
              <w:t>40%</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、有效活菌数</w:t>
            </w:r>
            <w:r>
              <w:rPr>
                <w:rFonts w:ascii="仿宋_GB2312" w:hAnsi="仿宋_GB2312" w:cs="仿宋_GB2312" w:eastAsia="仿宋_GB2312"/>
                <w:sz w:val="21"/>
              </w:rPr>
              <w:t>(cfu)</w:t>
            </w:r>
            <w:r>
              <w:rPr>
                <w:rFonts w:ascii="仿宋_GB2312" w:hAnsi="仿宋_GB2312" w:cs="仿宋_GB2312" w:eastAsia="仿宋_GB2312"/>
                <w:sz w:val="21"/>
              </w:rPr>
              <w:t>亿</w:t>
            </w:r>
            <w:r>
              <w:rPr>
                <w:rFonts w:ascii="仿宋_GB2312" w:hAnsi="仿宋_GB2312" w:cs="仿宋_GB2312" w:eastAsia="仿宋_GB2312"/>
                <w:sz w:val="21"/>
              </w:rPr>
              <w:t>/</w:t>
            </w:r>
            <w:r>
              <w:rPr>
                <w:rFonts w:ascii="仿宋_GB2312" w:hAnsi="仿宋_GB2312" w:cs="仿宋_GB2312" w:eastAsia="仿宋_GB2312"/>
                <w:sz w:val="21"/>
              </w:rPr>
              <w:t>克</w:t>
            </w:r>
            <w:r>
              <w:rPr>
                <w:rFonts w:ascii="仿宋_GB2312" w:hAnsi="仿宋_GB2312" w:cs="仿宋_GB2312" w:eastAsia="仿宋_GB2312"/>
                <w:sz w:val="21"/>
              </w:rPr>
              <w:t>(</w:t>
            </w:r>
            <w:r>
              <w:rPr>
                <w:rFonts w:ascii="仿宋_GB2312" w:hAnsi="仿宋_GB2312" w:cs="仿宋_GB2312" w:eastAsia="仿宋_GB2312"/>
                <w:sz w:val="21"/>
              </w:rPr>
              <w:t>毫升</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颗粒≥</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、有机菌肥的</w:t>
            </w:r>
            <w:r>
              <w:rPr>
                <w:rFonts w:ascii="仿宋_GB2312" w:hAnsi="仿宋_GB2312" w:cs="仿宋_GB2312" w:eastAsia="仿宋_GB2312"/>
                <w:sz w:val="21"/>
              </w:rPr>
              <w:t>pH</w:t>
            </w:r>
            <w:r>
              <w:rPr>
                <w:rFonts w:ascii="仿宋_GB2312" w:hAnsi="仿宋_GB2312" w:cs="仿宋_GB2312" w:eastAsia="仿宋_GB2312"/>
                <w:sz w:val="21"/>
              </w:rPr>
              <w:t>值应在</w:t>
            </w:r>
            <w:r>
              <w:rPr>
                <w:rFonts w:ascii="仿宋_GB2312" w:hAnsi="仿宋_GB2312" w:cs="仿宋_GB2312" w:eastAsia="仿宋_GB2312"/>
                <w:sz w:val="21"/>
              </w:rPr>
              <w:t>5.5</w:t>
            </w:r>
            <w:r>
              <w:rPr>
                <w:rFonts w:ascii="仿宋_GB2312" w:hAnsi="仿宋_GB2312" w:cs="仿宋_GB2312" w:eastAsia="仿宋_GB2312"/>
                <w:sz w:val="21"/>
              </w:rPr>
              <w:t>—</w:t>
            </w:r>
            <w:r>
              <w:rPr>
                <w:rFonts w:ascii="仿宋_GB2312" w:hAnsi="仿宋_GB2312" w:cs="仿宋_GB2312" w:eastAsia="仿宋_GB2312"/>
                <w:sz w:val="21"/>
              </w:rPr>
              <w:t>8.0</w:t>
            </w:r>
            <w:r>
              <w:rPr>
                <w:rFonts w:ascii="仿宋_GB2312" w:hAnsi="仿宋_GB2312" w:cs="仿宋_GB2312" w:eastAsia="仿宋_GB2312"/>
                <w:sz w:val="21"/>
              </w:rPr>
              <w:t>之间。</w:t>
            </w:r>
          </w:p>
          <w:p>
            <w:pPr>
              <w:pStyle w:val="null3"/>
              <w:jc w:val="both"/>
            </w:pPr>
            <w:r>
              <w:rPr>
                <w:rFonts w:ascii="仿宋_GB2312" w:hAnsi="仿宋_GB2312" w:cs="仿宋_GB2312" w:eastAsia="仿宋_GB2312"/>
                <w:sz w:val="21"/>
              </w:rPr>
              <w:t>综上所述，选择合适的有机菌肥时，应注意其有机质含量、有效活菌数、</w:t>
            </w:r>
            <w:r>
              <w:rPr>
                <w:rFonts w:ascii="仿宋_GB2312" w:hAnsi="仿宋_GB2312" w:cs="仿宋_GB2312" w:eastAsia="仿宋_GB2312"/>
                <w:sz w:val="21"/>
              </w:rPr>
              <w:t>pH</w:t>
            </w:r>
            <w:r>
              <w:rPr>
                <w:rFonts w:ascii="仿宋_GB2312" w:hAnsi="仿宋_GB2312" w:cs="仿宋_GB2312" w:eastAsia="仿宋_GB2312"/>
                <w:sz w:val="21"/>
              </w:rPr>
              <w:t>值等参数，以确保其质量和效果。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）综合防治病虫害，确保丰产</w:t>
            </w:r>
          </w:p>
          <w:p>
            <w:pPr>
              <w:pStyle w:val="null3"/>
              <w:jc w:val="both"/>
            </w:pPr>
            <w:r>
              <w:rPr>
                <w:rFonts w:ascii="仿宋_GB2312" w:hAnsi="仿宋_GB2312" w:cs="仿宋_GB2312" w:eastAsia="仿宋_GB2312"/>
                <w:sz w:val="21"/>
              </w:rPr>
              <w:t>根据病虫的发生、发展动态提出预报和最佳防治时间，采取农业措施与生物、化学防治相结合的综合防治措施，同时注意保护和利用天敌，以及调整施药期和施药量等。</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、防治原则</w:t>
            </w:r>
          </w:p>
          <w:p>
            <w:pPr>
              <w:pStyle w:val="null3"/>
              <w:jc w:val="both"/>
            </w:pPr>
            <w:r>
              <w:rPr>
                <w:rFonts w:ascii="仿宋_GB2312" w:hAnsi="仿宋_GB2312" w:cs="仿宋_GB2312" w:eastAsia="仿宋_GB2312"/>
                <w:sz w:val="21"/>
              </w:rPr>
              <w:t>一是坚持</w:t>
            </w:r>
            <w:r>
              <w:rPr>
                <w:rFonts w:ascii="仿宋_GB2312" w:hAnsi="仿宋_GB2312" w:cs="仿宋_GB2312" w:eastAsia="仿宋_GB2312"/>
                <w:sz w:val="21"/>
              </w:rPr>
              <w:t>“预防为主、科学防控、依法治理、促进健康”的十六字方针，以生态平衡为目的最大限度地利用自然调控因素，在全面掌握各种虫害的生物学特性及与环境之间的辨证关系的前提下，综合利用人工、物理、生物、化学等防治措施，经济、安全、有效地控制病虫危害，以达到优质、高产、环保的目的。</w:t>
            </w:r>
          </w:p>
          <w:p>
            <w:pPr>
              <w:pStyle w:val="null3"/>
              <w:jc w:val="both"/>
            </w:pPr>
            <w:r>
              <w:rPr>
                <w:rFonts w:ascii="仿宋_GB2312" w:hAnsi="仿宋_GB2312" w:cs="仿宋_GB2312" w:eastAsia="仿宋_GB2312"/>
                <w:sz w:val="21"/>
              </w:rPr>
              <w:t>二是抓住关键防治期，科学防治的原则。每种虫害都有自己的生长特点和消长规律，我们只有在掌握这些规律的前提下，才能采取科学合理的防治方法把危害控制在最小的范围内。</w:t>
            </w:r>
          </w:p>
          <w:p>
            <w:pPr>
              <w:pStyle w:val="null3"/>
              <w:jc w:val="both"/>
            </w:pPr>
            <w:r>
              <w:rPr>
                <w:rFonts w:ascii="仿宋_GB2312" w:hAnsi="仿宋_GB2312" w:cs="仿宋_GB2312" w:eastAsia="仿宋_GB2312"/>
                <w:sz w:val="21"/>
              </w:rPr>
              <w:t>三是化学防治应做到科学配方，合理混用原则。在化学防治过程中，应根据各生育期内的虫害发生特点，合理安排和选择用药，避免单一用药。</w:t>
            </w:r>
          </w:p>
          <w:p>
            <w:pPr>
              <w:pStyle w:val="null3"/>
              <w:jc w:val="both"/>
            </w:pPr>
            <w:r>
              <w:rPr>
                <w:rFonts w:ascii="仿宋_GB2312" w:hAnsi="仿宋_GB2312" w:cs="仿宋_GB2312" w:eastAsia="仿宋_GB2312"/>
                <w:sz w:val="21"/>
              </w:rPr>
              <w:t>四是选择高效、低毒、低残留的农药的原则。在病虫害防治的用药上，应优先选择高效、低毒、低残留及有选择性的农药，如微生物农药、植物源农药、动物源和一些特异性农药等，尽量避免使用广谱性的农药，以最大可能地保护天敌，充分发挥天敌的自然调控作用，减轻农药的污染。</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、主要病虫害防治措施</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）枣瘿蚊：又名枣叶蛆，以幼虫危害嫩叶。</w:t>
            </w:r>
          </w:p>
          <w:p>
            <w:pPr>
              <w:pStyle w:val="null3"/>
              <w:jc w:val="both"/>
            </w:pPr>
            <w:r>
              <w:rPr>
                <w:rFonts w:ascii="仿宋_GB2312" w:hAnsi="仿宋_GB2312" w:cs="仿宋_GB2312" w:eastAsia="仿宋_GB2312"/>
                <w:sz w:val="21"/>
              </w:rPr>
              <w:t>防治方法：结合防治盲蝽象第一代幼虫发生期树上喷药防治。</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绿盲蝽象：俗名小臭，以成虫或若虫刺吸枣树的幼芽、叶、花、果、枝汁液。</w:t>
            </w:r>
          </w:p>
          <w:p>
            <w:pPr>
              <w:pStyle w:val="null3"/>
              <w:jc w:val="both"/>
            </w:pPr>
            <w:r>
              <w:rPr>
                <w:rFonts w:ascii="仿宋_GB2312" w:hAnsi="仿宋_GB2312" w:cs="仿宋_GB2312" w:eastAsia="仿宋_GB2312"/>
                <w:sz w:val="21"/>
              </w:rPr>
              <w:t>防治方法：剪虫枝、刮树皮、清杂草、集中烧毁，萌芽前喷</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度石硫合剂。具有内吸、熏蒸、触杀作用的药剂。</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叶螨</w:t>
            </w:r>
            <w:r>
              <w:rPr>
                <w:rFonts w:ascii="仿宋_GB2312" w:hAnsi="仿宋_GB2312" w:cs="仿宋_GB2312" w:eastAsia="仿宋_GB2312"/>
                <w:sz w:val="21"/>
              </w:rPr>
              <w:t>:</w:t>
            </w:r>
            <w:r>
              <w:rPr>
                <w:rFonts w:ascii="仿宋_GB2312" w:hAnsi="仿宋_GB2312" w:cs="仿宋_GB2312" w:eastAsia="仿宋_GB2312"/>
                <w:sz w:val="21"/>
              </w:rPr>
              <w:t>以幼虫、成虫刺吸叶片叶液，使叶片变为灰白色，发生严重时造成大量叶片脱落。</w:t>
            </w:r>
          </w:p>
          <w:p>
            <w:pPr>
              <w:pStyle w:val="null3"/>
              <w:jc w:val="both"/>
            </w:pPr>
            <w:r>
              <w:rPr>
                <w:rFonts w:ascii="仿宋_GB2312" w:hAnsi="仿宋_GB2312" w:cs="仿宋_GB2312" w:eastAsia="仿宋_GB2312"/>
                <w:sz w:val="21"/>
              </w:rPr>
              <w:t>防治方法：冬春季刮树皮，集中烧毁，萌芽前喷</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度石硫合剂。</w:t>
            </w:r>
            <w:r>
              <w:rPr>
                <w:rFonts w:ascii="仿宋_GB2312" w:hAnsi="仿宋_GB2312" w:cs="仿宋_GB2312" w:eastAsia="仿宋_GB2312"/>
                <w:sz w:val="21"/>
              </w:rPr>
              <w:t>3</w:t>
            </w:r>
            <w:r>
              <w:rPr>
                <w:rFonts w:ascii="仿宋_GB2312" w:hAnsi="仿宋_GB2312" w:cs="仿宋_GB2312" w:eastAsia="仿宋_GB2312"/>
                <w:sz w:val="21"/>
              </w:rPr>
              <w:t>月下旬树干涂粘虫胶。</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桃小食心虫：简称枣桃小，以幼虫蛀果危害。</w:t>
            </w:r>
          </w:p>
          <w:p>
            <w:pPr>
              <w:pStyle w:val="null3"/>
              <w:jc w:val="both"/>
            </w:pPr>
            <w:r>
              <w:rPr>
                <w:rFonts w:ascii="仿宋_GB2312" w:hAnsi="仿宋_GB2312" w:cs="仿宋_GB2312" w:eastAsia="仿宋_GB2312"/>
                <w:sz w:val="21"/>
              </w:rPr>
              <w:t>防治方法：深秋季翻树盘，消灭越冬虫茧。</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枣锈病：主要危害叶片，造成生长期落叶。</w:t>
            </w:r>
          </w:p>
          <w:p>
            <w:pPr>
              <w:pStyle w:val="null3"/>
              <w:jc w:val="both"/>
            </w:pPr>
            <w:r>
              <w:rPr>
                <w:rFonts w:ascii="仿宋_GB2312" w:hAnsi="仿宋_GB2312" w:cs="仿宋_GB2312" w:eastAsia="仿宋_GB2312"/>
                <w:sz w:val="21"/>
              </w:rPr>
              <w:t>防治方法：</w:t>
            </w:r>
            <w:r>
              <w:rPr>
                <w:rFonts w:ascii="仿宋_GB2312" w:hAnsi="仿宋_GB2312" w:cs="仿宋_GB2312" w:eastAsia="仿宋_GB2312"/>
                <w:sz w:val="21"/>
              </w:rPr>
              <w:t>①早春刮树皮、剪虫枝、清扫落叶，集中烧毁并于发芽前喷</w:t>
            </w:r>
            <w:r>
              <w:rPr>
                <w:rFonts w:ascii="仿宋_GB2312" w:hAnsi="仿宋_GB2312" w:cs="仿宋_GB2312" w:eastAsia="仿宋_GB2312"/>
                <w:sz w:val="21"/>
              </w:rPr>
              <w:t>5</w:t>
            </w:r>
            <w:r>
              <w:rPr>
                <w:rFonts w:ascii="仿宋_GB2312" w:hAnsi="仿宋_GB2312" w:cs="仿宋_GB2312" w:eastAsia="仿宋_GB2312"/>
                <w:sz w:val="21"/>
              </w:rPr>
              <w:t>度石硫合剂。②推广开心树形，搞好冬剪和夏剪，选择矮秆间作物，使树体通风透光。③发病前选用喷可、菌可、枣得利、代森锰锌、大生</w:t>
            </w:r>
            <w:r>
              <w:rPr>
                <w:rFonts w:ascii="仿宋_GB2312" w:hAnsi="仿宋_GB2312" w:cs="仿宋_GB2312" w:eastAsia="仿宋_GB2312"/>
                <w:sz w:val="21"/>
              </w:rPr>
              <w:t>M-45</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200</w:t>
            </w:r>
            <w:r>
              <w:rPr>
                <w:rFonts w:ascii="仿宋_GB2312" w:hAnsi="仿宋_GB2312" w:cs="仿宋_GB2312" w:eastAsia="仿宋_GB2312"/>
                <w:sz w:val="21"/>
              </w:rPr>
              <w:t>波尔多液防治，发病后用</w:t>
            </w:r>
            <w:r>
              <w:rPr>
                <w:rFonts w:ascii="仿宋_GB2312" w:hAnsi="仿宋_GB2312" w:cs="仿宋_GB2312" w:eastAsia="仿宋_GB2312"/>
                <w:sz w:val="21"/>
              </w:rPr>
              <w:t>25%</w:t>
            </w:r>
            <w:r>
              <w:rPr>
                <w:rFonts w:ascii="仿宋_GB2312" w:hAnsi="仿宋_GB2312" w:cs="仿宋_GB2312" w:eastAsia="仿宋_GB2312"/>
                <w:sz w:val="21"/>
              </w:rPr>
              <w:t>粉锈宁可湿性粉剂</w:t>
            </w:r>
            <w:r>
              <w:rPr>
                <w:rFonts w:ascii="仿宋_GB2312" w:hAnsi="仿宋_GB2312" w:cs="仿宋_GB2312" w:eastAsia="仿宋_GB2312"/>
                <w:sz w:val="21"/>
              </w:rPr>
              <w:t>800</w:t>
            </w:r>
            <w:r>
              <w:rPr>
                <w:rFonts w:ascii="仿宋_GB2312" w:hAnsi="仿宋_GB2312" w:cs="仿宋_GB2312" w:eastAsia="仿宋_GB2312"/>
                <w:sz w:val="21"/>
              </w:rPr>
              <w:t>倍液防治。</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枣裂果病：</w:t>
            </w:r>
          </w:p>
          <w:p>
            <w:pPr>
              <w:pStyle w:val="null3"/>
              <w:jc w:val="both"/>
            </w:pPr>
            <w:r>
              <w:rPr>
                <w:rFonts w:ascii="仿宋_GB2312" w:hAnsi="仿宋_GB2312" w:cs="仿宋_GB2312" w:eastAsia="仿宋_GB2312"/>
                <w:sz w:val="21"/>
              </w:rPr>
              <w:t>防治方法：</w:t>
            </w:r>
            <w:r>
              <w:rPr>
                <w:rFonts w:ascii="仿宋_GB2312" w:hAnsi="仿宋_GB2312" w:cs="仿宋_GB2312" w:eastAsia="仿宋_GB2312"/>
                <w:sz w:val="21"/>
              </w:rPr>
              <w:t>①选择抗裂果品种。②结合防治其他病虫害，喷</w:t>
            </w:r>
            <w:r>
              <w:rPr>
                <w:rFonts w:ascii="仿宋_GB2312" w:hAnsi="仿宋_GB2312" w:cs="仿宋_GB2312" w:eastAsia="仿宋_GB2312"/>
                <w:sz w:val="21"/>
              </w:rPr>
              <w:t>0.3%</w:t>
            </w:r>
            <w:r>
              <w:rPr>
                <w:rFonts w:ascii="仿宋_GB2312" w:hAnsi="仿宋_GB2312" w:cs="仿宋_GB2312" w:eastAsia="仿宋_GB2312"/>
                <w:sz w:val="21"/>
              </w:rPr>
              <w:t>氯化钙水溶液，共喷</w:t>
            </w:r>
            <w:r>
              <w:rPr>
                <w:rFonts w:ascii="仿宋_GB2312" w:hAnsi="仿宋_GB2312" w:cs="仿宋_GB2312" w:eastAsia="仿宋_GB2312"/>
                <w:sz w:val="21"/>
              </w:rPr>
              <w:t>2-3</w:t>
            </w:r>
            <w:r>
              <w:rPr>
                <w:rFonts w:ascii="仿宋_GB2312" w:hAnsi="仿宋_GB2312" w:cs="仿宋_GB2312" w:eastAsia="仿宋_GB2312"/>
                <w:sz w:val="21"/>
              </w:rPr>
              <w:t>次。③幼果膨大期追施氮、磷、钾复合肥，浇足水，白熟期浇水</w:t>
            </w:r>
            <w:r>
              <w:rPr>
                <w:rFonts w:ascii="仿宋_GB2312" w:hAnsi="仿宋_GB2312" w:cs="仿宋_GB2312" w:eastAsia="仿宋_GB2312"/>
                <w:sz w:val="21"/>
              </w:rPr>
              <w:t>1</w:t>
            </w:r>
            <w:r>
              <w:rPr>
                <w:rFonts w:ascii="仿宋_GB2312" w:hAnsi="仿宋_GB2312" w:cs="仿宋_GB2312" w:eastAsia="仿宋_GB2312"/>
                <w:sz w:val="21"/>
              </w:rPr>
              <w:t>次，以后控水。</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枣轮纹病：又叫浆果病，主要危害果实。</w:t>
            </w:r>
          </w:p>
          <w:p>
            <w:pPr>
              <w:pStyle w:val="null3"/>
              <w:jc w:val="both"/>
            </w:pPr>
            <w:r>
              <w:rPr>
                <w:rFonts w:ascii="仿宋_GB2312" w:hAnsi="仿宋_GB2312" w:cs="仿宋_GB2312" w:eastAsia="仿宋_GB2312"/>
                <w:sz w:val="21"/>
              </w:rPr>
              <w:t>防治方法</w:t>
            </w:r>
            <w:r>
              <w:rPr>
                <w:rFonts w:ascii="仿宋_GB2312" w:hAnsi="仿宋_GB2312" w:cs="仿宋_GB2312" w:eastAsia="仿宋_GB2312"/>
                <w:sz w:val="21"/>
              </w:rPr>
              <w:t>:</w:t>
            </w:r>
            <w:r>
              <w:rPr>
                <w:rFonts w:ascii="仿宋_GB2312" w:hAnsi="仿宋_GB2312" w:cs="仿宋_GB2312" w:eastAsia="仿宋_GB2312"/>
                <w:sz w:val="21"/>
              </w:rPr>
              <w:t>①结合修剪，彻底剪除病枝、枯枝，清除落叶、落果，春季喷石硫合剂。②选保护性杀菌剂（如：</w:t>
            </w:r>
            <w:r>
              <w:rPr>
                <w:rFonts w:ascii="仿宋_GB2312" w:hAnsi="仿宋_GB2312" w:cs="仿宋_GB2312" w:eastAsia="仿宋_GB2312"/>
                <w:sz w:val="21"/>
              </w:rPr>
              <w:t>80%</w:t>
            </w:r>
            <w:r>
              <w:rPr>
                <w:rFonts w:ascii="仿宋_GB2312" w:hAnsi="仿宋_GB2312" w:cs="仿宋_GB2312" w:eastAsia="仿宋_GB2312"/>
                <w:sz w:val="21"/>
              </w:rPr>
              <w:t>大生</w:t>
            </w:r>
            <w:r>
              <w:rPr>
                <w:rFonts w:ascii="仿宋_GB2312" w:hAnsi="仿宋_GB2312" w:cs="仿宋_GB2312" w:eastAsia="仿宋_GB2312"/>
                <w:sz w:val="21"/>
              </w:rPr>
              <w:t>M-45</w:t>
            </w:r>
            <w:r>
              <w:rPr>
                <w:rFonts w:ascii="仿宋_GB2312" w:hAnsi="仿宋_GB2312" w:cs="仿宋_GB2312" w:eastAsia="仿宋_GB2312"/>
                <w:sz w:val="21"/>
              </w:rPr>
              <w:t>可湿粉</w:t>
            </w:r>
            <w:r>
              <w:rPr>
                <w:rFonts w:ascii="仿宋_GB2312" w:hAnsi="仿宋_GB2312" w:cs="仿宋_GB2312" w:eastAsia="仿宋_GB2312"/>
                <w:sz w:val="21"/>
              </w:rPr>
              <w:t>600-800</w:t>
            </w:r>
            <w:r>
              <w:rPr>
                <w:rFonts w:ascii="仿宋_GB2312" w:hAnsi="仿宋_GB2312" w:cs="仿宋_GB2312" w:eastAsia="仿宋_GB2312"/>
                <w:sz w:val="21"/>
              </w:rPr>
              <w:t>倍液，</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200</w:t>
            </w:r>
            <w:r>
              <w:rPr>
                <w:rFonts w:ascii="仿宋_GB2312" w:hAnsi="仿宋_GB2312" w:cs="仿宋_GB2312" w:eastAsia="仿宋_GB2312"/>
                <w:sz w:val="21"/>
              </w:rPr>
              <w:t>波尔多液）防治，发病后选用</w:t>
            </w:r>
            <w:r>
              <w:rPr>
                <w:rFonts w:ascii="仿宋_GB2312" w:hAnsi="仿宋_GB2312" w:cs="仿宋_GB2312" w:eastAsia="仿宋_GB2312"/>
                <w:sz w:val="21"/>
              </w:rPr>
              <w:t>35%</w:t>
            </w:r>
            <w:r>
              <w:rPr>
                <w:rFonts w:ascii="仿宋_GB2312" w:hAnsi="仿宋_GB2312" w:cs="仿宋_GB2312" w:eastAsia="仿宋_GB2312"/>
                <w:sz w:val="21"/>
              </w:rPr>
              <w:t>轮纹病铲除剂</w:t>
            </w:r>
            <w:r>
              <w:rPr>
                <w:rFonts w:ascii="仿宋_GB2312" w:hAnsi="仿宋_GB2312" w:cs="仿宋_GB2312" w:eastAsia="仿宋_GB2312"/>
                <w:sz w:val="21"/>
              </w:rPr>
              <w:t>300-400</w:t>
            </w:r>
            <w:r>
              <w:rPr>
                <w:rFonts w:ascii="仿宋_GB2312" w:hAnsi="仿宋_GB2312" w:cs="仿宋_GB2312" w:eastAsia="仿宋_GB2312"/>
                <w:sz w:val="21"/>
              </w:rPr>
              <w:t>倍液、</w:t>
            </w:r>
            <w:r>
              <w:rPr>
                <w:rFonts w:ascii="仿宋_GB2312" w:hAnsi="仿宋_GB2312" w:cs="仿宋_GB2312" w:eastAsia="仿宋_GB2312"/>
                <w:sz w:val="21"/>
              </w:rPr>
              <w:t>70%</w:t>
            </w:r>
            <w:r>
              <w:rPr>
                <w:rFonts w:ascii="仿宋_GB2312" w:hAnsi="仿宋_GB2312" w:cs="仿宋_GB2312" w:eastAsia="仿宋_GB2312"/>
                <w:sz w:val="21"/>
              </w:rPr>
              <w:t>甲基托布津可湿性粉剂</w:t>
            </w:r>
            <w:r>
              <w:rPr>
                <w:rFonts w:ascii="仿宋_GB2312" w:hAnsi="仿宋_GB2312" w:cs="仿宋_GB2312" w:eastAsia="仿宋_GB2312"/>
                <w:sz w:val="21"/>
              </w:rPr>
              <w:t>1000-1200</w:t>
            </w:r>
            <w:r>
              <w:rPr>
                <w:rFonts w:ascii="仿宋_GB2312" w:hAnsi="仿宋_GB2312" w:cs="仿宋_GB2312" w:eastAsia="仿宋_GB2312"/>
                <w:sz w:val="21"/>
              </w:rPr>
              <w:t>倍液防治。</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两宜镇低产低效林改造清单</w:t>
            </w:r>
          </w:p>
          <w:tbl>
            <w:tblPr>
              <w:tblBorders>
                <w:top w:val="none" w:color="000000" w:sz="4"/>
                <w:left w:val="none" w:color="000000" w:sz="4"/>
                <w:bottom w:val="none" w:color="000000" w:sz="4"/>
                <w:right w:val="none" w:color="000000" w:sz="4"/>
                <w:insideH w:val="none"/>
                <w:insideV w:val="none"/>
              </w:tblBorders>
            </w:tblPr>
            <w:tblGrid>
              <w:gridCol w:w="511"/>
              <w:gridCol w:w="511"/>
              <w:gridCol w:w="511"/>
              <w:gridCol w:w="511"/>
              <w:gridCol w:w="511"/>
            </w:tblGrid>
            <w:tr>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项目内容</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用工</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土壤改良</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亩</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1工日/亩</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病虫害绿色防控</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亩</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1工日/亩</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二</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物料</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有机菌肥</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亩</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350公斤/亩</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生物防控物资</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1套/亩，包括：苏云金杆菌、苦参碱、枯草芽孢杆菌、哈茨木霉菌、光合细菌</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病虫害防治</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粘虫板</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50000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100张/亩</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物联网驱鸟杀虫器</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25亩/台</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太阳能诱捕杀虫器</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2.5亩/台</w:t>
                  </w:r>
                </w:p>
              </w:tc>
            </w:tr>
          </w:tbl>
          <w:p>
            <w:pPr>
              <w:pStyle w:val="null3"/>
            </w:pPr>
            <w:r>
              <w:rPr>
                <w:rFonts w:ascii="仿宋_GB2312" w:hAnsi="仿宋_GB2312" w:cs="仿宋_GB2312" w:eastAsia="仿宋_GB2312"/>
              </w:rPr>
              <w:t>有机肥、防控物资</w:t>
            </w:r>
            <w:r>
              <w:rPr>
                <w:rFonts w:ascii="仿宋_GB2312" w:hAnsi="仿宋_GB2312" w:cs="仿宋_GB2312" w:eastAsia="仿宋_GB2312"/>
              </w:rPr>
              <w:t>清单参数</w:t>
            </w:r>
          </w:p>
          <w:tbl>
            <w:tblPr>
              <w:tblBorders>
                <w:top w:val="none" w:color="000000" w:sz="4"/>
                <w:left w:val="none" w:color="000000" w:sz="4"/>
                <w:bottom w:val="none" w:color="000000" w:sz="4"/>
                <w:right w:val="none" w:color="000000" w:sz="4"/>
                <w:insideH w:val="none"/>
                <w:insideV w:val="none"/>
              </w:tblBorders>
            </w:tblPr>
            <w:tblGrid>
              <w:gridCol w:w="215"/>
              <w:gridCol w:w="434"/>
              <w:gridCol w:w="282"/>
              <w:gridCol w:w="232"/>
              <w:gridCol w:w="1375"/>
            </w:tblGrid>
            <w:tr>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序号</w:t>
                  </w:r>
                </w:p>
              </w:tc>
              <w:tc>
                <w:tcPr>
                  <w:tcW w:type="dxa" w:w="4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名称</w:t>
                  </w:r>
                </w:p>
              </w:tc>
              <w:tc>
                <w:tcPr>
                  <w:tcW w:type="dxa" w:w="2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数量</w:t>
                  </w:r>
                </w:p>
              </w:tc>
              <w:tc>
                <w:tcPr>
                  <w:tcW w:type="dxa" w:w="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单位</w:t>
                  </w:r>
                </w:p>
              </w:tc>
              <w:tc>
                <w:tcPr>
                  <w:tcW w:type="dxa" w:w="13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备注</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有机菌肥</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175</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吨</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符合</w:t>
                  </w:r>
                  <w:r>
                    <w:rPr>
                      <w:rFonts w:ascii="仿宋_GB2312" w:hAnsi="仿宋_GB2312" w:cs="仿宋_GB2312" w:eastAsia="仿宋_GB2312"/>
                      <w:sz w:val="21"/>
                    </w:rPr>
                    <w:t>NY884-2012</w:t>
                  </w:r>
                  <w:r>
                    <w:rPr>
                      <w:rFonts w:ascii="仿宋_GB2312" w:hAnsi="仿宋_GB2312" w:cs="仿宋_GB2312" w:eastAsia="仿宋_GB2312"/>
                      <w:sz w:val="21"/>
                    </w:rPr>
                    <w:t>标准：有效活菌数≥</w:t>
                  </w:r>
                  <w:r>
                    <w:rPr>
                      <w:rFonts w:ascii="仿宋_GB2312" w:hAnsi="仿宋_GB2312" w:cs="仿宋_GB2312" w:eastAsia="仿宋_GB2312"/>
                      <w:sz w:val="21"/>
                    </w:rPr>
                    <w:t>0.2</w:t>
                  </w:r>
                  <w:r>
                    <w:rPr>
                      <w:rFonts w:ascii="仿宋_GB2312" w:hAnsi="仿宋_GB2312" w:cs="仿宋_GB2312" w:eastAsia="仿宋_GB2312"/>
                      <w:sz w:val="21"/>
                    </w:rPr>
                    <w:t>亿</w:t>
                  </w:r>
                  <w:r>
                    <w:rPr>
                      <w:rFonts w:ascii="仿宋_GB2312" w:hAnsi="仿宋_GB2312" w:cs="仿宋_GB2312" w:eastAsia="仿宋_GB2312"/>
                      <w:sz w:val="21"/>
                    </w:rPr>
                    <w:t xml:space="preserve">/g </w:t>
                  </w:r>
                  <w:r>
                    <w:rPr>
                      <w:rFonts w:ascii="仿宋_GB2312" w:hAnsi="仿宋_GB2312" w:cs="仿宋_GB2312" w:eastAsia="仿宋_GB2312"/>
                      <w:sz w:val="21"/>
                    </w:rPr>
                    <w:t>；有机质≥</w:t>
                  </w:r>
                  <w:r>
                    <w:rPr>
                      <w:rFonts w:ascii="仿宋_GB2312" w:hAnsi="仿宋_GB2312" w:cs="仿宋_GB2312" w:eastAsia="仿宋_GB2312"/>
                      <w:sz w:val="21"/>
                    </w:rPr>
                    <w:t>40%</w:t>
                  </w:r>
                  <w:r>
                    <w:rPr>
                      <w:rFonts w:ascii="仿宋_GB2312" w:hAnsi="仿宋_GB2312" w:cs="仿宋_GB2312" w:eastAsia="仿宋_GB2312"/>
                      <w:sz w:val="21"/>
                    </w:rPr>
                    <w:t>；</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苏云金杆菌</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瓶</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瓶装悬浮剂，有效成分及其含量：苏云金杆菌</w:t>
                  </w:r>
                  <w:r>
                    <w:rPr>
                      <w:rFonts w:ascii="仿宋_GB2312" w:hAnsi="仿宋_GB2312" w:cs="仿宋_GB2312" w:eastAsia="仿宋_GB2312"/>
                      <w:sz w:val="21"/>
                    </w:rPr>
                    <w:t>≥</w:t>
                  </w:r>
                  <w:r>
                    <w:rPr>
                      <w:rFonts w:ascii="仿宋_GB2312" w:hAnsi="仿宋_GB2312" w:cs="仿宋_GB2312" w:eastAsia="仿宋_GB2312"/>
                      <w:sz w:val="21"/>
                    </w:rPr>
                    <w:t>8000IU/</w:t>
                  </w:r>
                  <w:r>
                    <w:rPr>
                      <w:rFonts w:ascii="仿宋_GB2312" w:hAnsi="仿宋_GB2312" w:cs="仿宋_GB2312" w:eastAsia="仿宋_GB2312"/>
                      <w:sz w:val="21"/>
                    </w:rPr>
                    <w:t>微升；净含量：</w:t>
                  </w:r>
                  <w:r>
                    <w:rPr>
                      <w:rFonts w:ascii="仿宋_GB2312" w:hAnsi="仿宋_GB2312" w:cs="仿宋_GB2312" w:eastAsia="仿宋_GB2312"/>
                      <w:sz w:val="21"/>
                    </w:rPr>
                    <w:t>1kg/</w:t>
                  </w:r>
                  <w:r>
                    <w:rPr>
                      <w:rFonts w:ascii="仿宋_GB2312" w:hAnsi="仿宋_GB2312" w:cs="仿宋_GB2312" w:eastAsia="仿宋_GB2312"/>
                      <w:sz w:val="21"/>
                    </w:rPr>
                    <w:t>瓶</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苦参碱</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瓶</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瓶装水剂，有效成分及其含量：苦参碱</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，净含量：</w:t>
                  </w:r>
                  <w:r>
                    <w:rPr>
                      <w:rFonts w:ascii="仿宋_GB2312" w:hAnsi="仿宋_GB2312" w:cs="仿宋_GB2312" w:eastAsia="仿宋_GB2312"/>
                      <w:sz w:val="21"/>
                    </w:rPr>
                    <w:t>200g/</w:t>
                  </w:r>
                  <w:r>
                    <w:rPr>
                      <w:rFonts w:ascii="仿宋_GB2312" w:hAnsi="仿宋_GB2312" w:cs="仿宋_GB2312" w:eastAsia="仿宋_GB2312"/>
                      <w:sz w:val="21"/>
                    </w:rPr>
                    <w:t>瓶</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枯草芽孢杆菌</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袋</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袋装粉剂，有效成分及其含量：</w:t>
                  </w:r>
                  <w:r>
                    <w:rPr>
                      <w:rFonts w:ascii="仿宋_GB2312" w:hAnsi="仿宋_GB2312" w:cs="仿宋_GB2312" w:eastAsia="仿宋_GB2312"/>
                      <w:sz w:val="21"/>
                    </w:rPr>
                    <w:t>≥</w:t>
                  </w:r>
                  <w:r>
                    <w:rPr>
                      <w:rFonts w:ascii="仿宋_GB2312" w:hAnsi="仿宋_GB2312" w:cs="仿宋_GB2312" w:eastAsia="仿宋_GB2312"/>
                      <w:sz w:val="21"/>
                    </w:rPr>
                    <w:t>100</w:t>
                  </w:r>
                  <w:r>
                    <w:rPr>
                      <w:rFonts w:ascii="仿宋_GB2312" w:hAnsi="仿宋_GB2312" w:cs="仿宋_GB2312" w:eastAsia="仿宋_GB2312"/>
                      <w:sz w:val="21"/>
                    </w:rPr>
                    <w:t>亿</w:t>
                  </w:r>
                  <w:r>
                    <w:rPr>
                      <w:rFonts w:ascii="仿宋_GB2312" w:hAnsi="仿宋_GB2312" w:cs="仿宋_GB2312" w:eastAsia="仿宋_GB2312"/>
                      <w:sz w:val="21"/>
                    </w:rPr>
                    <w:t>/</w:t>
                  </w:r>
                  <w:r>
                    <w:rPr>
                      <w:rFonts w:ascii="仿宋_GB2312" w:hAnsi="仿宋_GB2312" w:cs="仿宋_GB2312" w:eastAsia="仿宋_GB2312"/>
                      <w:sz w:val="21"/>
                    </w:rPr>
                    <w:t>克，净含量：</w:t>
                  </w:r>
                  <w:r>
                    <w:rPr>
                      <w:rFonts w:ascii="仿宋_GB2312" w:hAnsi="仿宋_GB2312" w:cs="仿宋_GB2312" w:eastAsia="仿宋_GB2312"/>
                      <w:sz w:val="21"/>
                    </w:rPr>
                    <w:t>1kg/</w:t>
                  </w:r>
                  <w:r>
                    <w:rPr>
                      <w:rFonts w:ascii="仿宋_GB2312" w:hAnsi="仿宋_GB2312" w:cs="仿宋_GB2312" w:eastAsia="仿宋_GB2312"/>
                      <w:sz w:val="21"/>
                    </w:rPr>
                    <w:t>袋</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哈茨木霉菌</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袋</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袋装粉剂，有效成分及其含量：</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亿</w:t>
                  </w:r>
                  <w:r>
                    <w:rPr>
                      <w:rFonts w:ascii="仿宋_GB2312" w:hAnsi="仿宋_GB2312" w:cs="仿宋_GB2312" w:eastAsia="仿宋_GB2312"/>
                      <w:sz w:val="21"/>
                    </w:rPr>
                    <w:t>/</w:t>
                  </w:r>
                  <w:r>
                    <w:rPr>
                      <w:rFonts w:ascii="仿宋_GB2312" w:hAnsi="仿宋_GB2312" w:cs="仿宋_GB2312" w:eastAsia="仿宋_GB2312"/>
                      <w:sz w:val="21"/>
                    </w:rPr>
                    <w:t>克，净含量：</w:t>
                  </w:r>
                  <w:r>
                    <w:rPr>
                      <w:rFonts w:ascii="仿宋_GB2312" w:hAnsi="仿宋_GB2312" w:cs="仿宋_GB2312" w:eastAsia="仿宋_GB2312"/>
                      <w:sz w:val="21"/>
                    </w:rPr>
                    <w:t>1kg/</w:t>
                  </w:r>
                  <w:r>
                    <w:rPr>
                      <w:rFonts w:ascii="仿宋_GB2312" w:hAnsi="仿宋_GB2312" w:cs="仿宋_GB2312" w:eastAsia="仿宋_GB2312"/>
                      <w:sz w:val="21"/>
                    </w:rPr>
                    <w:t>袋</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光合细菌</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000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桶</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桶装水剂，有效成分及其含量：有效活性菌</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亿</w:t>
                  </w:r>
                  <w:r>
                    <w:rPr>
                      <w:rFonts w:ascii="仿宋_GB2312" w:hAnsi="仿宋_GB2312" w:cs="仿宋_GB2312" w:eastAsia="仿宋_GB2312"/>
                      <w:sz w:val="21"/>
                    </w:rPr>
                    <w:t>/ml</w:t>
                  </w:r>
                  <w:r>
                    <w:rPr>
                      <w:rFonts w:ascii="仿宋_GB2312" w:hAnsi="仿宋_GB2312" w:cs="仿宋_GB2312" w:eastAsia="仿宋_GB2312"/>
                      <w:sz w:val="21"/>
                    </w:rPr>
                    <w:t>，净含量：</w:t>
                  </w:r>
                  <w:r>
                    <w:rPr>
                      <w:rFonts w:ascii="仿宋_GB2312" w:hAnsi="仿宋_GB2312" w:cs="仿宋_GB2312" w:eastAsia="仿宋_GB2312"/>
                      <w:sz w:val="21"/>
                    </w:rPr>
                    <w:t>5L/</w:t>
                  </w:r>
                  <w:r>
                    <w:rPr>
                      <w:rFonts w:ascii="仿宋_GB2312" w:hAnsi="仿宋_GB2312" w:cs="仿宋_GB2312" w:eastAsia="仿宋_GB2312"/>
                      <w:sz w:val="21"/>
                    </w:rPr>
                    <w:t>桶</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粘虫板</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50000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张</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w:t>
                  </w:r>
                  <w:r>
                    <w:rPr>
                      <w:rFonts w:ascii="仿宋_GB2312" w:hAnsi="仿宋_GB2312" w:cs="仿宋_GB2312" w:eastAsia="仿宋_GB2312"/>
                      <w:sz w:val="21"/>
                    </w:rPr>
                    <w:t>:20*25cm;</w:t>
                  </w:r>
                  <w:r>
                    <w:rPr>
                      <w:rFonts w:ascii="仿宋_GB2312" w:hAnsi="仿宋_GB2312" w:cs="仿宋_GB2312" w:eastAsia="仿宋_GB2312"/>
                      <w:sz w:val="21"/>
                    </w:rPr>
                    <w:t>颜色</w:t>
                  </w:r>
                  <w:r>
                    <w:rPr>
                      <w:rFonts w:ascii="仿宋_GB2312" w:hAnsi="仿宋_GB2312" w:cs="仿宋_GB2312" w:eastAsia="仿宋_GB2312"/>
                      <w:sz w:val="21"/>
                    </w:rPr>
                    <w:t>:</w:t>
                  </w:r>
                  <w:r>
                    <w:rPr>
                      <w:rFonts w:ascii="仿宋_GB2312" w:hAnsi="仿宋_GB2312" w:cs="仿宋_GB2312" w:eastAsia="仿宋_GB2312"/>
                      <w:sz w:val="21"/>
                    </w:rPr>
                    <w:t>黄色</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、有悬挂孔，表面平直便于清洗，具有一定的强度、硬度、耐湿</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、单面胶层厚度为</w:t>
                  </w:r>
                  <w:r>
                    <w:rPr>
                      <w:rFonts w:ascii="仿宋_GB2312" w:hAnsi="仿宋_GB2312" w:cs="仿宋_GB2312" w:eastAsia="仿宋_GB2312"/>
                      <w:sz w:val="21"/>
                    </w:rPr>
                    <w:t>:0.03-0.05(mm);</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、在温度</w:t>
                  </w:r>
                  <w:r>
                    <w:rPr>
                      <w:rFonts w:ascii="仿宋_GB2312" w:hAnsi="仿宋_GB2312" w:cs="仿宋_GB2312" w:eastAsia="仿宋_GB2312"/>
                      <w:sz w:val="21"/>
                    </w:rPr>
                    <w:t>10</w:t>
                  </w:r>
                  <w:r>
                    <w:rPr>
                      <w:rFonts w:ascii="仿宋_GB2312" w:hAnsi="仿宋_GB2312" w:cs="仿宋_GB2312" w:eastAsia="仿宋_GB2312"/>
                      <w:sz w:val="21"/>
                    </w:rPr>
                    <w:t>℃至</w:t>
                  </w:r>
                  <w:r>
                    <w:rPr>
                      <w:rFonts w:ascii="仿宋_GB2312" w:hAnsi="仿宋_GB2312" w:cs="仿宋_GB2312" w:eastAsia="仿宋_GB2312"/>
                      <w:sz w:val="21"/>
                    </w:rPr>
                    <w:t>70</w:t>
                  </w:r>
                  <w:r>
                    <w:rPr>
                      <w:rFonts w:ascii="仿宋_GB2312" w:hAnsi="仿宋_GB2312" w:cs="仿宋_GB2312" w:eastAsia="仿宋_GB2312"/>
                      <w:sz w:val="21"/>
                    </w:rPr>
                    <w:t>℃环境中，基板无变形，胶体无硬化，遇水不溶解</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、粘接力</w:t>
                  </w:r>
                  <w:r>
                    <w:rPr>
                      <w:rFonts w:ascii="仿宋_GB2312" w:hAnsi="仿宋_GB2312" w:cs="仿宋_GB2312" w:eastAsia="仿宋_GB2312"/>
                      <w:sz w:val="21"/>
                    </w:rPr>
                    <w:t>:</w:t>
                  </w:r>
                  <w:r>
                    <w:rPr>
                      <w:rFonts w:ascii="仿宋_GB2312" w:hAnsi="仿宋_GB2312" w:cs="仿宋_GB2312" w:eastAsia="仿宋_GB2312"/>
                      <w:sz w:val="21"/>
                    </w:rPr>
                    <w:t>将</w:t>
                  </w:r>
                  <w:r>
                    <w:rPr>
                      <w:rFonts w:ascii="仿宋_GB2312" w:hAnsi="仿宋_GB2312" w:cs="仿宋_GB2312" w:eastAsia="仿宋_GB2312"/>
                      <w:sz w:val="21"/>
                    </w:rPr>
                    <w:t>5g</w:t>
                  </w:r>
                  <w:r>
                    <w:rPr>
                      <w:rFonts w:ascii="仿宋_GB2312" w:hAnsi="仿宋_GB2312" w:cs="仿宋_GB2312" w:eastAsia="仿宋_GB2312"/>
                      <w:sz w:val="21"/>
                    </w:rPr>
                    <w:t>砝码粘接于诱虫板，水平提起，砝码垂直向下，</w:t>
                  </w:r>
                  <w:r>
                    <w:rPr>
                      <w:rFonts w:ascii="仿宋_GB2312" w:hAnsi="仿宋_GB2312" w:cs="仿宋_GB2312" w:eastAsia="仿宋_GB2312"/>
                      <w:sz w:val="21"/>
                    </w:rPr>
                    <w:t>5min</w:t>
                  </w:r>
                  <w:r>
                    <w:rPr>
                      <w:rFonts w:ascii="仿宋_GB2312" w:hAnsi="仿宋_GB2312" w:cs="仿宋_GB2312" w:eastAsia="仿宋_GB2312"/>
                      <w:sz w:val="21"/>
                    </w:rPr>
                    <w:t>内不脱落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、基板外观色泽一致。</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物联网驱鸟杀虫器</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．镀锌主杆总高度</w:t>
                  </w:r>
                  <w:r>
                    <w:rPr>
                      <w:rFonts w:ascii="仿宋_GB2312" w:hAnsi="仿宋_GB2312" w:cs="仿宋_GB2312" w:eastAsia="仿宋_GB2312"/>
                      <w:sz w:val="21"/>
                    </w:rPr>
                    <w:t>3.5</w:t>
                  </w:r>
                  <w:r>
                    <w:rPr>
                      <w:rFonts w:ascii="仿宋_GB2312" w:hAnsi="仿宋_GB2312" w:cs="仿宋_GB2312" w:eastAsia="仿宋_GB2312"/>
                      <w:sz w:val="21"/>
                    </w:rPr>
                    <w:t>米，下口径</w:t>
                  </w:r>
                  <w:r>
                    <w:rPr>
                      <w:rFonts w:ascii="仿宋_GB2312" w:hAnsi="仿宋_GB2312" w:cs="仿宋_GB2312" w:eastAsia="仿宋_GB2312"/>
                      <w:sz w:val="21"/>
                    </w:rPr>
                    <w:t>8</w:t>
                  </w:r>
                  <w:r>
                    <w:rPr>
                      <w:rFonts w:ascii="仿宋_GB2312" w:hAnsi="仿宋_GB2312" w:cs="仿宋_GB2312" w:eastAsia="仿宋_GB2312"/>
                      <w:sz w:val="21"/>
                    </w:rPr>
                    <w:t>㎝，壁厚</w:t>
                  </w: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法兰盘</w:t>
                  </w:r>
                  <w:r>
                    <w:rPr>
                      <w:rFonts w:ascii="仿宋_GB2312" w:hAnsi="仿宋_GB2312" w:cs="仿宋_GB2312" w:eastAsia="仿宋_GB2312"/>
                      <w:sz w:val="21"/>
                    </w:rPr>
                    <w:t>26*26</w:t>
                  </w:r>
                  <w:r>
                    <w:rPr>
                      <w:rFonts w:ascii="仿宋_GB2312" w:hAnsi="仿宋_GB2312" w:cs="仿宋_GB2312" w:eastAsia="仿宋_GB2312"/>
                      <w:sz w:val="21"/>
                    </w:rPr>
                    <w:t>㎝，主杆基部喷塑处理，具备直埋式安装要求。电池为三元锂电池≥</w:t>
                  </w:r>
                  <w:r>
                    <w:rPr>
                      <w:rFonts w:ascii="仿宋_GB2312" w:hAnsi="仿宋_GB2312" w:cs="仿宋_GB2312" w:eastAsia="仿宋_GB2312"/>
                      <w:sz w:val="21"/>
                    </w:rPr>
                    <w:t>20AH,12.4V</w:t>
                  </w:r>
                  <w:r>
                    <w:rPr>
                      <w:rFonts w:ascii="仿宋_GB2312" w:hAnsi="仿宋_GB2312" w:cs="仿宋_GB2312" w:eastAsia="仿宋_GB2312"/>
                      <w:sz w:val="21"/>
                    </w:rPr>
                    <w:t>（±</w:t>
                  </w:r>
                  <w:r>
                    <w:rPr>
                      <w:rFonts w:ascii="仿宋_GB2312" w:hAnsi="仿宋_GB2312" w:cs="仿宋_GB2312" w:eastAsia="仿宋_GB2312"/>
                      <w:sz w:val="21"/>
                    </w:rPr>
                    <w:t>1.0V</w:t>
                  </w:r>
                  <w:r>
                    <w:rPr>
                      <w:rFonts w:ascii="仿宋_GB2312" w:hAnsi="仿宋_GB2312" w:cs="仿宋_GB2312" w:eastAsia="仿宋_GB2312"/>
                      <w:sz w:val="21"/>
                    </w:rPr>
                    <w:t>）系统，使用寿命≥</w:t>
                  </w:r>
                  <w:r>
                    <w:rPr>
                      <w:rFonts w:ascii="仿宋_GB2312" w:hAnsi="仿宋_GB2312" w:cs="仿宋_GB2312" w:eastAsia="仿宋_GB2312"/>
                      <w:sz w:val="21"/>
                    </w:rPr>
                    <w:t>8</w:t>
                  </w:r>
                  <w:r>
                    <w:rPr>
                      <w:rFonts w:ascii="仿宋_GB2312" w:hAnsi="仿宋_GB2312" w:cs="仿宋_GB2312" w:eastAsia="仿宋_GB2312"/>
                      <w:sz w:val="21"/>
                    </w:rPr>
                    <w:t>年。太阳能电池板为≥</w:t>
                  </w:r>
                  <w:r>
                    <w:rPr>
                      <w:rFonts w:ascii="仿宋_GB2312" w:hAnsi="仿宋_GB2312" w:cs="仿宋_GB2312" w:eastAsia="仿宋_GB2312"/>
                      <w:sz w:val="21"/>
                    </w:rPr>
                    <w:t>80W</w:t>
                  </w:r>
                  <w:r>
                    <w:rPr>
                      <w:rFonts w:ascii="仿宋_GB2312" w:hAnsi="仿宋_GB2312" w:cs="仿宋_GB2312" w:eastAsia="仿宋_GB2312"/>
                      <w:sz w:val="21"/>
                    </w:rPr>
                    <w:t>的多晶硅组件，使用寿命≥</w:t>
                  </w:r>
                  <w:r>
                    <w:rPr>
                      <w:rFonts w:ascii="仿宋_GB2312" w:hAnsi="仿宋_GB2312" w:cs="仿宋_GB2312" w:eastAsia="仿宋_GB2312"/>
                      <w:sz w:val="21"/>
                    </w:rPr>
                    <w:t>20</w:t>
                  </w:r>
                  <w:r>
                    <w:rPr>
                      <w:rFonts w:ascii="仿宋_GB2312" w:hAnsi="仿宋_GB2312" w:cs="仿宋_GB2312" w:eastAsia="仿宋_GB2312"/>
                      <w:sz w:val="21"/>
                    </w:rPr>
                    <w:t>年 。</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．超声波</w:t>
                  </w:r>
                  <w:r>
                    <w:rPr>
                      <w:rFonts w:ascii="仿宋_GB2312" w:hAnsi="仿宋_GB2312" w:cs="仿宋_GB2312" w:eastAsia="仿宋_GB2312"/>
                      <w:sz w:val="21"/>
                    </w:rPr>
                    <w:t>:</w:t>
                  </w:r>
                  <w:r>
                    <w:rPr>
                      <w:rFonts w:ascii="仿宋_GB2312" w:hAnsi="仿宋_GB2312" w:cs="仿宋_GB2312" w:eastAsia="仿宋_GB2312"/>
                      <w:sz w:val="21"/>
                    </w:rPr>
                    <w:t>全方位宽频段变频（</w:t>
                  </w:r>
                  <w:r>
                    <w:rPr>
                      <w:rFonts w:ascii="仿宋_GB2312" w:hAnsi="仿宋_GB2312" w:cs="仿宋_GB2312" w:eastAsia="仿宋_GB2312"/>
                      <w:sz w:val="21"/>
                    </w:rPr>
                    <w:t>6kHz~16kHz</w:t>
                  </w:r>
                  <w:r>
                    <w:rPr>
                      <w:rFonts w:ascii="仿宋_GB2312" w:hAnsi="仿宋_GB2312" w:cs="仿宋_GB2312" w:eastAsia="仿宋_GB2312"/>
                      <w:sz w:val="21"/>
                    </w:rPr>
                    <w:t>与</w:t>
                  </w:r>
                  <w:r>
                    <w:rPr>
                      <w:rFonts w:ascii="仿宋_GB2312" w:hAnsi="仿宋_GB2312" w:cs="仿宋_GB2312" w:eastAsia="仿宋_GB2312"/>
                      <w:sz w:val="21"/>
                    </w:rPr>
                    <w:t>15kHz~25kHz</w:t>
                  </w:r>
                  <w:r>
                    <w:rPr>
                      <w:rFonts w:ascii="仿宋_GB2312" w:hAnsi="仿宋_GB2312" w:cs="仿宋_GB2312" w:eastAsia="仿宋_GB2312"/>
                      <w:sz w:val="21"/>
                    </w:rPr>
                    <w:t>）超声波、次声波发声装置，四面具有不少于</w:t>
                  </w:r>
                  <w:r>
                    <w:rPr>
                      <w:rFonts w:ascii="仿宋_GB2312" w:hAnsi="仿宋_GB2312" w:cs="仿宋_GB2312" w:eastAsia="仿宋_GB2312"/>
                      <w:sz w:val="21"/>
                    </w:rPr>
                    <w:t>11</w:t>
                  </w:r>
                  <w:r>
                    <w:rPr>
                      <w:rFonts w:ascii="仿宋_GB2312" w:hAnsi="仿宋_GB2312" w:cs="仿宋_GB2312" w:eastAsia="仿宋_GB2312"/>
                      <w:sz w:val="21"/>
                    </w:rPr>
                    <w:t>个无障碍式超声波发声器。仿生语音喇叭：内置≥</w:t>
                  </w:r>
                  <w:r>
                    <w:rPr>
                      <w:rFonts w:ascii="仿宋_GB2312" w:hAnsi="仿宋_GB2312" w:cs="仿宋_GB2312" w:eastAsia="仿宋_GB2312"/>
                      <w:sz w:val="21"/>
                    </w:rPr>
                    <w:t>30</w:t>
                  </w:r>
                  <w:r>
                    <w:rPr>
                      <w:rFonts w:ascii="仿宋_GB2312" w:hAnsi="仿宋_GB2312" w:cs="仿宋_GB2312" w:eastAsia="仿宋_GB2312"/>
                      <w:sz w:val="21"/>
                    </w:rPr>
                    <w:t>种仿生物、语音炮、高分贝驱鸟声音等。</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．机箱为金属材质，长宽高尺寸不小于</w:t>
                  </w:r>
                  <w:r>
                    <w:rPr>
                      <w:rFonts w:ascii="仿宋_GB2312" w:hAnsi="仿宋_GB2312" w:cs="仿宋_GB2312" w:eastAsia="仿宋_GB2312"/>
                      <w:sz w:val="21"/>
                    </w:rPr>
                    <w:t>36cm*27cm*22cm.</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电子爆响装置：爆响装置具有防护罩、具有单独光控及开关装置。具备自动转换工作模式开关装置，保证驱鸟杀虫器的工作模式符合农作物生产需求。电路板高度集成一体化设的脉冲式高压模块、升压模块、主机关闭后具有自动放电功能安全保护功能。</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．电容器的耐压值不低于</w:t>
                  </w:r>
                  <w:r>
                    <w:rPr>
                      <w:rFonts w:ascii="仿宋_GB2312" w:hAnsi="仿宋_GB2312" w:cs="仿宋_GB2312" w:eastAsia="仿宋_GB2312"/>
                      <w:sz w:val="21"/>
                    </w:rPr>
                    <w:t>400V,</w:t>
                  </w:r>
                  <w:r>
                    <w:rPr>
                      <w:rFonts w:ascii="仿宋_GB2312" w:hAnsi="仿宋_GB2312" w:cs="仿宋_GB2312" w:eastAsia="仿宋_GB2312"/>
                      <w:sz w:val="21"/>
                    </w:rPr>
                    <w:t>容量不低</w:t>
                  </w:r>
                  <w:r>
                    <w:rPr>
                      <w:rFonts w:ascii="仿宋_GB2312" w:hAnsi="仿宋_GB2312" w:cs="仿宋_GB2312" w:eastAsia="仿宋_GB2312"/>
                      <w:sz w:val="21"/>
                    </w:rPr>
                    <w:t>820UF(</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，爆响装置易维护及更换，并且具有保护外罩，以保证安全使用。</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．主控系统：具有自动设别白天和夜晚的功能、防倾倒保护装置及自动转换工作模式的开关装置，具有驱鸟杀虫模式和杀虫模式的手动切换开关。</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．杀虫灯：符合</w:t>
                  </w:r>
                  <w:r>
                    <w:rPr>
                      <w:rFonts w:ascii="仿宋_GB2312" w:hAnsi="仿宋_GB2312" w:cs="仿宋_GB2312" w:eastAsia="仿宋_GB2312"/>
                      <w:sz w:val="21"/>
                    </w:rPr>
                    <w:t>GB/T24689.2-2017</w:t>
                  </w:r>
                  <w:r>
                    <w:rPr>
                      <w:rFonts w:ascii="仿宋_GB2312" w:hAnsi="仿宋_GB2312" w:cs="仿宋_GB2312" w:eastAsia="仿宋_GB2312"/>
                      <w:sz w:val="21"/>
                    </w:rPr>
                    <w:t>植物保护机械杀虫灯国家标准。</w:t>
                  </w:r>
                  <w:r>
                    <w:rPr>
                      <w:rFonts w:ascii="仿宋_GB2312" w:hAnsi="仿宋_GB2312" w:cs="仿宋_GB2312" w:eastAsia="仿宋_GB2312"/>
                      <w:sz w:val="21"/>
                    </w:rPr>
                    <w:t>E27</w:t>
                  </w:r>
                  <w:r>
                    <w:rPr>
                      <w:rFonts w:ascii="仿宋_GB2312" w:hAnsi="仿宋_GB2312" w:cs="仿宋_GB2312" w:eastAsia="仿宋_GB2312"/>
                      <w:sz w:val="21"/>
                    </w:rPr>
                    <w:t>螺口，设计寿命：≥</w:t>
                  </w:r>
                  <w:r>
                    <w:rPr>
                      <w:rFonts w:ascii="仿宋_GB2312" w:hAnsi="仿宋_GB2312" w:cs="仿宋_GB2312" w:eastAsia="仿宋_GB2312"/>
                      <w:sz w:val="21"/>
                    </w:rPr>
                    <w:t>6</w:t>
                  </w:r>
                  <w:r>
                    <w:rPr>
                      <w:rFonts w:ascii="仿宋_GB2312" w:hAnsi="仿宋_GB2312" w:cs="仿宋_GB2312" w:eastAsia="仿宋_GB2312"/>
                      <w:sz w:val="21"/>
                    </w:rPr>
                    <w:t>年，外形尺寸不小于长</w:t>
                  </w:r>
                  <w:r>
                    <w:rPr>
                      <w:rFonts w:ascii="仿宋_GB2312" w:hAnsi="仿宋_GB2312" w:cs="仿宋_GB2312" w:eastAsia="仿宋_GB2312"/>
                      <w:sz w:val="21"/>
                    </w:rPr>
                    <w:t>450MM*</w:t>
                  </w:r>
                  <w:r>
                    <w:rPr>
                      <w:rFonts w:ascii="仿宋_GB2312" w:hAnsi="仿宋_GB2312" w:cs="仿宋_GB2312" w:eastAsia="仿宋_GB2312"/>
                      <w:sz w:val="21"/>
                    </w:rPr>
                    <w:t>宽</w:t>
                  </w:r>
                  <w:r>
                    <w:rPr>
                      <w:rFonts w:ascii="仿宋_GB2312" w:hAnsi="仿宋_GB2312" w:cs="仿宋_GB2312" w:eastAsia="仿宋_GB2312"/>
                      <w:sz w:val="21"/>
                    </w:rPr>
                    <w:t>390MM*</w:t>
                  </w:r>
                  <w:r>
                    <w:rPr>
                      <w:rFonts w:ascii="仿宋_GB2312" w:hAnsi="仿宋_GB2312" w:cs="仿宋_GB2312" w:eastAsia="仿宋_GB2312"/>
                      <w:sz w:val="21"/>
                    </w:rPr>
                    <w:t>高</w:t>
                  </w:r>
                  <w:r>
                    <w:rPr>
                      <w:rFonts w:ascii="仿宋_GB2312" w:hAnsi="仿宋_GB2312" w:cs="仿宋_GB2312" w:eastAsia="仿宋_GB2312"/>
                      <w:sz w:val="21"/>
                    </w:rPr>
                    <w:t>820MM</w:t>
                  </w:r>
                  <w:r>
                    <w:rPr>
                      <w:rFonts w:ascii="仿宋_GB2312" w:hAnsi="仿宋_GB2312" w:cs="仿宋_GB2312" w:eastAsia="仿宋_GB2312"/>
                      <w:sz w:val="21"/>
                    </w:rPr>
                    <w:t>；设有两个独立的性诱剂、味诱剂存放装置，可根据不同害虫虫情添加专用昆虫性诱剂、味诱剂，辅助诱虫；绝缘柱：瞬间耐高温</w:t>
                  </w:r>
                  <w:r>
                    <w:rPr>
                      <w:rFonts w:ascii="仿宋_GB2312" w:hAnsi="仿宋_GB2312" w:cs="仿宋_GB2312" w:eastAsia="仿宋_GB2312"/>
                      <w:sz w:val="21"/>
                    </w:rPr>
                    <w:t>1000</w:t>
                  </w:r>
                  <w:r>
                    <w:rPr>
                      <w:rFonts w:ascii="仿宋_GB2312" w:hAnsi="仿宋_GB2312" w:cs="仿宋_GB2312" w:eastAsia="仿宋_GB2312"/>
                      <w:sz w:val="21"/>
                    </w:rPr>
                    <w:t>摄氏度，耐腐蚀，耐高压性能，雨天高压电网连续拉弧</w:t>
                  </w:r>
                  <w:r>
                    <w:rPr>
                      <w:rFonts w:ascii="仿宋_GB2312" w:hAnsi="仿宋_GB2312" w:cs="仿宋_GB2312" w:eastAsia="仿宋_GB2312"/>
                      <w:sz w:val="21"/>
                    </w:rPr>
                    <w:t>30min</w:t>
                  </w:r>
                  <w:r>
                    <w:rPr>
                      <w:rFonts w:ascii="仿宋_GB2312" w:hAnsi="仿宋_GB2312" w:cs="仿宋_GB2312" w:eastAsia="仿宋_GB2312"/>
                      <w:sz w:val="21"/>
                    </w:rPr>
                    <w:t>，绝缘柱无碳化现象；接虫装置：透明集虫壶，可直观的观察集虫情况，侧面和底面设有清理虫体的毛刷装置；具有多场景模式切换开关，可以选择不同的工作场景模式。</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太阳能诱捕杀虫器</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、太阳能电池板为</w:t>
                  </w:r>
                  <w:r>
                    <w:rPr>
                      <w:rFonts w:ascii="仿宋_GB2312" w:hAnsi="仿宋_GB2312" w:cs="仿宋_GB2312" w:eastAsia="仿宋_GB2312"/>
                      <w:sz w:val="21"/>
                    </w:rPr>
                    <w:t>PE</w:t>
                  </w:r>
                  <w:r>
                    <w:rPr>
                      <w:rFonts w:ascii="仿宋_GB2312" w:hAnsi="仿宋_GB2312" w:cs="仿宋_GB2312" w:eastAsia="仿宋_GB2312"/>
                      <w:sz w:val="21"/>
                    </w:rPr>
                    <w:t>基板功率：</w:t>
                  </w:r>
                  <w:r>
                    <w:rPr>
                      <w:rFonts w:ascii="仿宋_GB2312" w:hAnsi="仿宋_GB2312" w:cs="仿宋_GB2312" w:eastAsia="仿宋_GB2312"/>
                      <w:sz w:val="21"/>
                    </w:rPr>
                    <w:t>1.5Wp</w:t>
                  </w:r>
                  <w:r>
                    <w:rPr>
                      <w:rFonts w:ascii="仿宋_GB2312" w:hAnsi="仿宋_GB2312" w:cs="仿宋_GB2312" w:eastAsia="仿宋_GB2312"/>
                      <w:sz w:val="21"/>
                    </w:rPr>
                    <w:t>，空载电压</w:t>
                  </w:r>
                  <w:r>
                    <w:rPr>
                      <w:rFonts w:ascii="仿宋_GB2312" w:hAnsi="仿宋_GB2312" w:cs="仿宋_GB2312" w:eastAsia="仿宋_GB2312"/>
                      <w:sz w:val="21"/>
                    </w:rPr>
                    <w:t>6V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锂电池容量：</w:t>
                  </w:r>
                  <w:r>
                    <w:rPr>
                      <w:rFonts w:ascii="仿宋_GB2312" w:hAnsi="仿宋_GB2312" w:cs="仿宋_GB2312" w:eastAsia="仿宋_GB2312"/>
                      <w:sz w:val="21"/>
                    </w:rPr>
                    <w:t>≥</w:t>
                  </w:r>
                  <w:r>
                    <w:rPr>
                      <w:rFonts w:ascii="仿宋_GB2312" w:hAnsi="仿宋_GB2312" w:cs="仿宋_GB2312" w:eastAsia="仿宋_GB2312"/>
                      <w:sz w:val="21"/>
                    </w:rPr>
                    <w:t>100mAH</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工作电压：</w:t>
                  </w:r>
                  <w:r>
                    <w:rPr>
                      <w:rFonts w:ascii="仿宋_GB2312" w:hAnsi="仿宋_GB2312" w:cs="仿宋_GB2312" w:eastAsia="仿宋_GB2312"/>
                      <w:sz w:val="21"/>
                    </w:rPr>
                    <w:t>3.7V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光源为</w:t>
                  </w:r>
                  <w:r>
                    <w:rPr>
                      <w:rFonts w:ascii="仿宋_GB2312" w:hAnsi="仿宋_GB2312" w:cs="仿宋_GB2312" w:eastAsia="仿宋_GB2312"/>
                      <w:sz w:val="21"/>
                    </w:rPr>
                    <w:t>LED</w:t>
                  </w:r>
                  <w:r>
                    <w:rPr>
                      <w:rFonts w:ascii="仿宋_GB2312" w:hAnsi="仿宋_GB2312" w:cs="仿宋_GB2312" w:eastAsia="仿宋_GB2312"/>
                      <w:sz w:val="21"/>
                    </w:rPr>
                    <w:t>灯珠：</w:t>
                  </w:r>
                  <w:r>
                    <w:rPr>
                      <w:rFonts w:ascii="仿宋_GB2312" w:hAnsi="仿宋_GB2312" w:cs="仿宋_GB2312" w:eastAsia="仿宋_GB2312"/>
                      <w:sz w:val="21"/>
                    </w:rPr>
                    <w:t>0.5W-5700K</w:t>
                  </w:r>
                  <w:r>
                    <w:rPr>
                      <w:rFonts w:ascii="仿宋_GB2312" w:hAnsi="仿宋_GB2312" w:cs="仿宋_GB2312" w:eastAsia="仿宋_GB2312"/>
                      <w:sz w:val="21"/>
                    </w:rPr>
                    <w:t>正白光；</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外壳材质为聚丙烯。</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支架为金属制品，具有抗风摇摆的特性。高度为长</w:t>
                  </w:r>
                  <w:r>
                    <w:rPr>
                      <w:rFonts w:ascii="仿宋_GB2312" w:hAnsi="仿宋_GB2312" w:cs="仿宋_GB2312" w:eastAsia="仿宋_GB2312"/>
                      <w:sz w:val="21"/>
                    </w:rPr>
                    <w:t>26cm</w:t>
                  </w:r>
                  <w:r>
                    <w:rPr>
                      <w:rFonts w:ascii="仿宋_GB2312" w:hAnsi="仿宋_GB2312" w:cs="仿宋_GB2312" w:eastAsia="仿宋_GB2312"/>
                      <w:sz w:val="21"/>
                    </w:rPr>
                    <w:t>宽</w:t>
                  </w:r>
                  <w:r>
                    <w:rPr>
                      <w:rFonts w:ascii="仿宋_GB2312" w:hAnsi="仿宋_GB2312" w:cs="仿宋_GB2312" w:eastAsia="仿宋_GB2312"/>
                      <w:sz w:val="21"/>
                    </w:rPr>
                    <w:t>20cm</w:t>
                  </w:r>
                  <w:r>
                    <w:rPr>
                      <w:rFonts w:ascii="仿宋_GB2312" w:hAnsi="仿宋_GB2312" w:cs="仿宋_GB2312" w:eastAsia="仿宋_GB2312"/>
                      <w:sz w:val="21"/>
                    </w:rPr>
                    <w:t>高</w:t>
                  </w:r>
                  <w:r>
                    <w:rPr>
                      <w:rFonts w:ascii="仿宋_GB2312" w:hAnsi="仿宋_GB2312" w:cs="仿宋_GB2312" w:eastAsia="仿宋_GB2312"/>
                      <w:sz w:val="21"/>
                    </w:rPr>
                    <w:t>14cm</w:t>
                  </w:r>
                  <w:r>
                    <w:rPr>
                      <w:rFonts w:ascii="仿宋_GB2312" w:hAnsi="仿宋_GB2312" w:cs="仿宋_GB2312" w:eastAsia="仿宋_GB2312"/>
                      <w:sz w:val="21"/>
                    </w:rPr>
                    <w:t>，杆子高</w:t>
                  </w:r>
                  <w:r>
                    <w:rPr>
                      <w:rFonts w:ascii="仿宋_GB2312" w:hAnsi="仿宋_GB2312" w:cs="仿宋_GB2312" w:eastAsia="仿宋_GB2312"/>
                      <w:sz w:val="21"/>
                    </w:rPr>
                    <w:t>1.5</w:t>
                  </w:r>
                  <w:r>
                    <w:rPr>
                      <w:rFonts w:ascii="仿宋_GB2312" w:hAnsi="仿宋_GB2312" w:cs="仿宋_GB2312" w:eastAsia="仿宋_GB2312"/>
                      <w:sz w:val="21"/>
                    </w:rPr>
                    <w:t>米，鱼叉式设计。</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具有橡皮头及毛细管昆虫信息素安装孔装置。</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具有可调节式粘虫板快速更换装置。</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根据项目需求合理提供</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根据项目需求合理提供</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大荔县两宜镇</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项目分项实施结束后，报请甲方分项验收</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项目整体完成并验收合格后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采购人因未及时向中标人提供项目启动所需资料造成服务期延误，每延误1日则本合同服务周期限延长1日，以此类推；因资料真实性给中标人造成损失和产生相关连带责任时，采购人除按中标人要求进行赔偿外还需承担因连带责任产生的所有责任。 （二）因中标人原因造成服务期延误（自然灾害、疫情等不可抗力除外），采购人有权从未付款项中按每日3‰合同价款扣除违约金，此违约以30日为限。</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具有独立承担民事责任的能力的企业法人、其他组织或者自然人。</w:t>
            </w:r>
          </w:p>
        </w:tc>
        <w:tc>
          <w:tcPr>
            <w:tcW w:type="dxa" w:w="1661"/>
          </w:tcPr>
          <w:p>
            <w:pPr>
              <w:pStyle w:val="null3"/>
            </w:pPr>
            <w:r>
              <w:rPr>
                <w:rFonts w:ascii="仿宋_GB2312" w:hAnsi="仿宋_GB2312" w:cs="仿宋_GB2312" w:eastAsia="仿宋_GB2312"/>
              </w:rPr>
              <w:t>投标函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1.提供2024年度或2025年度完整审计报告，成立时间至提交投标文件截止时间不足1年的提供开标前六个月内基本存款账户开户银行出具的资信证明。2.社会保障资金缴纳证明：提供投标文件递交截止时间前12个月内任意一个月的社保缴费凭据或社保机构开具的社会保险参保缴费情况证明；依法不需要缴纳社会保障资金的供应商应提供相关文件证明。3.税收缴纳证明：提供投标文件递交截止 时间前12个月内任意一个月的缴费凭据；依法免税的应提供相关文件证明。供应商需在项目电子化交易系统中按要求上传相应证明文件并进行电子签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提供具有履行本合同所必需的设备和专业技术能力的说明或承诺；</w:t>
            </w:r>
          </w:p>
        </w:tc>
        <w:tc>
          <w:tcPr>
            <w:tcW w:type="dxa" w:w="1661"/>
          </w:tcPr>
          <w:p>
            <w:pPr>
              <w:pStyle w:val="null3"/>
            </w:pPr>
            <w:r>
              <w:rPr>
                <w:rFonts w:ascii="仿宋_GB2312" w:hAnsi="仿宋_GB2312" w:cs="仿宋_GB2312" w:eastAsia="仿宋_GB2312"/>
              </w:rPr>
              <w:t>投标函 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w:t>
            </w:r>
          </w:p>
        </w:tc>
        <w:tc>
          <w:tcPr>
            <w:tcW w:type="dxa" w:w="1661"/>
          </w:tcPr>
          <w:p>
            <w:pPr>
              <w:pStyle w:val="null3"/>
            </w:pPr>
            <w:r>
              <w:rPr>
                <w:rFonts w:ascii="仿宋_GB2312" w:hAnsi="仿宋_GB2312" w:cs="仿宋_GB2312" w:eastAsia="仿宋_GB2312"/>
              </w:rPr>
              <w:t>投标函 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法定代表人授权书或法定代表人身份证明书</w:t>
            </w:r>
          </w:p>
        </w:tc>
        <w:tc>
          <w:tcPr>
            <w:tcW w:type="dxa" w:w="3322"/>
          </w:tcPr>
          <w:p>
            <w:pPr>
              <w:pStyle w:val="null3"/>
            </w:pPr>
            <w:r>
              <w:rPr>
                <w:rFonts w:ascii="仿宋_GB2312" w:hAnsi="仿宋_GB2312" w:cs="仿宋_GB2312" w:eastAsia="仿宋_GB2312"/>
              </w:rPr>
              <w:t>为企业法定代表人出具，信息真实合法有效，附有法定代表人和被委托人身份证复印件且人证相符（若法定代表人直接参加投标会则须提供法定代表人身份证明及法定代表人身份证复印件）；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投标函 供应商资格证明文件.docx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费用组成表.docx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文件签章</w:t>
            </w:r>
          </w:p>
        </w:tc>
        <w:tc>
          <w:tcPr>
            <w:tcW w:type="dxa" w:w="3322"/>
          </w:tcPr>
          <w:p>
            <w:pPr>
              <w:pStyle w:val="null3"/>
            </w:pPr>
            <w:r>
              <w:rPr>
                <w:rFonts w:ascii="仿宋_GB2312" w:hAnsi="仿宋_GB2312" w:cs="仿宋_GB2312" w:eastAsia="仿宋_GB2312"/>
              </w:rPr>
              <w:t>按竞采购文件要求进行签章</w:t>
            </w:r>
          </w:p>
        </w:tc>
        <w:tc>
          <w:tcPr>
            <w:tcW w:type="dxa" w:w="1661"/>
          </w:tcPr>
          <w:p>
            <w:pPr>
              <w:pStyle w:val="null3"/>
            </w:pPr>
            <w:r>
              <w:rPr>
                <w:rFonts w:ascii="仿宋_GB2312" w:hAnsi="仿宋_GB2312" w:cs="仿宋_GB2312" w:eastAsia="仿宋_GB2312"/>
              </w:rPr>
              <w:t>服务内容及服务邀请应答表 中小企业声明函 费用组成表.docx 商务应答表 业绩证明文件.docx 投标函 残疾人福利性单位声明函 服务方案 标的清单 投标文件封面 供应商资格证明文件.docx 人员配备一览表.docx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投标报价没有超出最高限价</w:t>
            </w:r>
          </w:p>
        </w:tc>
        <w:tc>
          <w:tcPr>
            <w:tcW w:type="dxa" w:w="1661"/>
          </w:tcPr>
          <w:p>
            <w:pPr>
              <w:pStyle w:val="null3"/>
            </w:pPr>
            <w:r>
              <w:rPr>
                <w:rFonts w:ascii="仿宋_GB2312" w:hAnsi="仿宋_GB2312" w:cs="仿宋_GB2312" w:eastAsia="仿宋_GB2312"/>
              </w:rPr>
              <w:t>费用组成表.docx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从提交投标文件的截止之日起不少于90日历日</w:t>
            </w:r>
          </w:p>
        </w:tc>
        <w:tc>
          <w:tcPr>
            <w:tcW w:type="dxa" w:w="1661"/>
          </w:tcPr>
          <w:p>
            <w:pPr>
              <w:pStyle w:val="null3"/>
            </w:pPr>
            <w:r>
              <w:rPr>
                <w:rFonts w:ascii="仿宋_GB2312" w:hAnsi="仿宋_GB2312" w:cs="仿宋_GB2312" w:eastAsia="仿宋_GB2312"/>
              </w:rPr>
              <w:t>投标函 投标文件封面 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w:t>
            </w:r>
          </w:p>
        </w:tc>
        <w:tc>
          <w:tcPr>
            <w:tcW w:type="dxa" w:w="3322"/>
          </w:tcPr>
          <w:p>
            <w:pPr>
              <w:pStyle w:val="null3"/>
            </w:pPr>
            <w:r>
              <w:rPr>
                <w:rFonts w:ascii="仿宋_GB2312" w:hAnsi="仿宋_GB2312" w:cs="仿宋_GB2312" w:eastAsia="仿宋_GB2312"/>
              </w:rPr>
              <w:t>（1）符合商务、技术要求，不存在重大负偏离（2）未附有采购人不能接受的条件 （3）符合采购文件规定的其他实质性要求 （4）未违反《中华人民共和国政府采购法》和其他相关法律、法规的规定</w:t>
            </w:r>
          </w:p>
        </w:tc>
        <w:tc>
          <w:tcPr>
            <w:tcW w:type="dxa" w:w="1661"/>
          </w:tcPr>
          <w:p>
            <w:pPr>
              <w:pStyle w:val="null3"/>
            </w:pPr>
            <w:r>
              <w:rPr>
                <w:rFonts w:ascii="仿宋_GB2312" w:hAnsi="仿宋_GB2312" w:cs="仿宋_GB2312" w:eastAsia="仿宋_GB2312"/>
              </w:rPr>
              <w:t>服务内容及服务邀请应答表 中小企业声明函 费用组成表.docx 商务应答表 业绩证明文件.docx 投标函 残疾人福利性单位声明函 服务方案 标的清单 投标文件封面 供应商资格证明文件.docx 人员配备一览表.docx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评委根据供应商所提供的项目实施方案进行相应评分，包括但不限于：①作业区域的作业内容；②作业时间；③服务人员安排及管理制度；④作业方法等内容。以上评审内容，每项6分，满分24分。（1）内容完整，合理性强、可行性强，每项得4-6分；（2）内容完整，但未针对各项内容进行详细描述，每项得2-4分；（3）内容较完整，合理性一般、可行性一般，每项得0-2分；（4）内容有缺项或未提供相关内容的，根据评审内容此项得0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项目组人员</w:t>
            </w:r>
          </w:p>
        </w:tc>
        <w:tc>
          <w:tcPr>
            <w:tcW w:type="dxa" w:w="2492"/>
          </w:tcPr>
          <w:p>
            <w:pPr>
              <w:pStyle w:val="null3"/>
            </w:pPr>
            <w:r>
              <w:rPr>
                <w:rFonts w:ascii="仿宋_GB2312" w:hAnsi="仿宋_GB2312" w:cs="仿宋_GB2312" w:eastAsia="仿宋_GB2312"/>
              </w:rPr>
              <w:t>专业人员配备合理、全面、满足项目需求，人员分工、岗位职责明确。根据人员架构的设置情况是否充分，是否覆盖与本项目相关的专业技术能力，岗位划分是否清晰，职责是否明确进行得分（满分9分）：(1)项目组人员配备方案非常完整、非常合理，针对性及可实施性非常强，完全满足项目需求得6-9分；(2)方案比较完整、比较合理，具有一定的针对性及可实施性，基本满足招标文件要求，得3-6分；(3)方案完整度一般、合理性一般，针对性及可实施性一般，基本满足招标文件要求，部分满足项目需求得0-3分；(4)方案过于简单，不能满足要求，或未提供相关内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人员配备一览表.docx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拟投入作业设备配备</w:t>
            </w:r>
          </w:p>
        </w:tc>
        <w:tc>
          <w:tcPr>
            <w:tcW w:type="dxa" w:w="2492"/>
          </w:tcPr>
          <w:p>
            <w:pPr>
              <w:pStyle w:val="null3"/>
            </w:pPr>
            <w:r>
              <w:rPr>
                <w:rFonts w:ascii="仿宋_GB2312" w:hAnsi="仿宋_GB2312" w:cs="仿宋_GB2312" w:eastAsia="仿宋_GB2312"/>
              </w:rPr>
              <w:t>评委根据供应商所提供的拟投入作业设备、物资及劳保用品配备进行相应评分，包括但不限于：作业设备、物资用品配备；以上评审内容，满分6分。（1）内容完整，合理性强、可行性强，得4-6分；（2）内容完整，但未针对各项内容进行详细描述，得2-4分；（3）内容较完整，合理性一般、可行性一般，得0-2分；（4）内容有缺项或未提供相关内容的，根据评审内容此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有机肥、防控物资技术参数</w:t>
            </w:r>
          </w:p>
        </w:tc>
        <w:tc>
          <w:tcPr>
            <w:tcW w:type="dxa" w:w="2492"/>
          </w:tcPr>
          <w:p>
            <w:pPr>
              <w:pStyle w:val="null3"/>
            </w:pPr>
            <w:r>
              <w:rPr>
                <w:rFonts w:ascii="仿宋_GB2312" w:hAnsi="仿宋_GB2312" w:cs="仿宋_GB2312" w:eastAsia="仿宋_GB2312"/>
              </w:rPr>
              <w:t>评委根据供应商所提供的拟投入有机肥、防控物资技术参数进行相应评分，技术指标有1项负偏离扣2分，扣完为止，相同产品负偏离不重复扣分。说明：供应商须提供相关技术指标证明材料予以佐证，若不提供，按负偏离处理。证明材料不限于检测报告、试验报告、产品彩页、厂家出具的技术证明文件、功能截图等（复印件加盖鲜章）。供应商自行承担因材料提供不全导致的技术参数评审风险。</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针对本项目出现突发状况或问题后的补救措施等方面，包括但不限于：①对突发情况响应时间；②服务承诺；③应急方案等；以上评审内容，每项3分，满分9分。（1）内容完整，合理性强、可行性强，每项得1.5-3分；（2）内容完整，但未针对各项内容进行详细描述，每项得1-1.5分；（3）内容较完整，合理性一般、可行性一般，每项得0-1分；（4）内容有缺项或未提供相关内容的，根据评审内容此项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针对本项目制定质量保证措施：质量保证措施切实可行、责任明确得6-9分；质量保证措施可行性一般、责任较明确得3-6分；质量保证措施可行性低、责任不明确得0-3分。注：未进行描述的本项不得分。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工作进度保证措施</w:t>
            </w:r>
          </w:p>
        </w:tc>
        <w:tc>
          <w:tcPr>
            <w:tcW w:type="dxa" w:w="2492"/>
          </w:tcPr>
          <w:p>
            <w:pPr>
              <w:pStyle w:val="null3"/>
            </w:pPr>
            <w:r>
              <w:rPr>
                <w:rFonts w:ascii="仿宋_GB2312" w:hAnsi="仿宋_GB2312" w:cs="仿宋_GB2312" w:eastAsia="仿宋_GB2312"/>
              </w:rPr>
              <w:t>针对本项目制定工作进度保证措施：工作进度计划详细可行、合理，以严谨且可执行的保障措施实现本项目对时间的要求得6-9分；工作进度计划较详细可行、合理，保障措施一般得3-6分；工作进度计划可行性低、不合理，保障措施无法满足本项目对时间的要求得0-3分。注：未进行描述的本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提出合理化建议满足项目需要，方案科学计2-3分，合理化建议安排较能满足项目需要、较合理，方案较科学计1-2分，合理化建议安排不够详细，科学性、合理性、可行性差的计0-1分。注：未进行描述的本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供应商自2023年3月1日至今承担过的类似项目业绩，每提供1个项目合同得1分，最多得3分。注：提供合同复印件（包括合同首页、合同内容描述页、合同盖章页）并加盖供应商公章；合同案例中合同的乙方必须与供应商的名称完全一致，如单位名称发生变更，必须提供证明文件，时间以合同签订时间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采用低价优先法计算，即通过符合性审查且价格最低的有效投标报价为评标基准价，其价格分为满分。投标报价得分＝（评标基准价/投标报价）×10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费用组成表.docx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详见附件：费用组成表.docx</w:t>
      </w:r>
    </w:p>
    <w:p>
      <w:pPr>
        <w:pStyle w:val="null3"/>
        <w:ind w:firstLine="960"/>
      </w:pPr>
      <w:r>
        <w:rPr>
          <w:rFonts w:ascii="仿宋_GB2312" w:hAnsi="仿宋_GB2312" w:cs="仿宋_GB2312" w:eastAsia="仿宋_GB2312"/>
        </w:rPr>
        <w:t>详见附件：人员配备一览表.docx</w:t>
      </w:r>
    </w:p>
    <w:p>
      <w:pPr>
        <w:pStyle w:val="null3"/>
        <w:ind w:firstLine="960"/>
      </w:pPr>
      <w:r>
        <w:rPr>
          <w:rFonts w:ascii="仿宋_GB2312" w:hAnsi="仿宋_GB2312" w:cs="仿宋_GB2312" w:eastAsia="仿宋_GB2312"/>
        </w:rPr>
        <w:t>详见附件：业绩证明文件.docx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