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版本号：MDZB-2025-13220251020001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合阳县城市更新规划编制项目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MDZB-2025-132</w:t>
      </w:r>
      <w:r>
        <w:br/>
      </w:r>
      <w:r>
        <w:br/>
      </w:r>
      <w:r>
        <w:br/>
      </w:r>
    </w:p>
    <w:p>
      <w:pPr>
        <w:pStyle w:val="null3"/>
        <w:jc w:val="center"/>
        <w:outlineLvl w:val="2"/>
      </w:pPr>
      <w:r>
        <w:rPr>
          <w:rFonts w:ascii="仿宋_GB2312" w:hAnsi="仿宋_GB2312" w:cs="仿宋_GB2312" w:eastAsia="仿宋_GB2312"/>
          <w:sz w:val="28"/>
          <w:b/>
        </w:rPr>
        <w:t>合阳县住房和城乡建设局</w:t>
      </w:r>
    </w:p>
    <w:p>
      <w:pPr>
        <w:pStyle w:val="null3"/>
        <w:jc w:val="center"/>
        <w:outlineLvl w:val="2"/>
      </w:pPr>
      <w:r>
        <w:rPr>
          <w:rFonts w:ascii="仿宋_GB2312" w:hAnsi="仿宋_GB2312" w:cs="仿宋_GB2312" w:eastAsia="仿宋_GB2312"/>
          <w:sz w:val="28"/>
          <w:b/>
        </w:rPr>
        <w:t>陕西明德招标有限责任公司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陕西明德招标有限责任公司</w:t>
      </w:r>
      <w:r>
        <w:rPr>
          <w:rFonts w:ascii="仿宋_GB2312" w:hAnsi="仿宋_GB2312" w:cs="仿宋_GB2312" w:eastAsia="仿宋_GB2312"/>
        </w:rPr>
        <w:t>（以下简称“代理机构”）受</w:t>
      </w:r>
      <w:r>
        <w:rPr>
          <w:rFonts w:ascii="仿宋_GB2312" w:hAnsi="仿宋_GB2312" w:cs="仿宋_GB2312" w:eastAsia="仿宋_GB2312"/>
        </w:rPr>
        <w:t>合阳县住房和城乡建设局</w:t>
      </w:r>
      <w:r>
        <w:rPr>
          <w:rFonts w:ascii="仿宋_GB2312" w:hAnsi="仿宋_GB2312" w:cs="仿宋_GB2312" w:eastAsia="仿宋_GB2312"/>
        </w:rPr>
        <w:t>委托，拟对</w:t>
      </w:r>
      <w:r>
        <w:rPr>
          <w:rFonts w:ascii="仿宋_GB2312" w:hAnsi="仿宋_GB2312" w:cs="仿宋_GB2312" w:eastAsia="仿宋_GB2312"/>
        </w:rPr>
        <w:t>合阳县城市更新规划编制项目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MDZB-2025-132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合阳县城市更新规划编制项目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合阳县城市更新规划编制项目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采购包1（合阳县城市更新规划编制项目）：属于专门面向中小企业采购。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1、法定代表人授权委托书：法定代表人授权书及被授权人身份证明。（法定代表人直接磋商只须提交其身份证明）</w:t>
      </w:r>
    </w:p>
    <w:p>
      <w:pPr>
        <w:pStyle w:val="null3"/>
      </w:pPr>
      <w:r>
        <w:rPr>
          <w:rFonts w:ascii="仿宋_GB2312" w:hAnsi="仿宋_GB2312" w:cs="仿宋_GB2312" w:eastAsia="仿宋_GB2312"/>
        </w:rPr>
        <w:t>2、企业资质：供应商须具备城乡规划乙级以上（含乙级）资质</w:t>
      </w:r>
    </w:p>
    <w:p>
      <w:pPr>
        <w:pStyle w:val="null3"/>
      </w:pPr>
      <w:r>
        <w:rPr>
          <w:rFonts w:ascii="仿宋_GB2312" w:hAnsi="仿宋_GB2312" w:cs="仿宋_GB2312" w:eastAsia="仿宋_GB2312"/>
        </w:rPr>
        <w:t>3、信用信息：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4、非联合体投标书面声明：本项目不接受联合体投标（提供书面声明）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合阳县住房和城乡建设局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陕西省渭南市合阳县凤凰西街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合阳县住房和城乡建设局 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13571501200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陕西明德招标有限责任公司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陕西省西安市未央区太华北路甲字88号锦园国际广场10层1007</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安倩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13474129951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合阳县政府采购管理股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秦维刚</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0913-8343423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的《招标代理服务收费管理暂行办法》（计价格[2002]1980号）和国家发展和改革委员会办公厅印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合阳县住房和城乡建设局</w:t>
      </w:r>
      <w:r>
        <w:rPr>
          <w:rFonts w:ascii="仿宋_GB2312" w:hAnsi="仿宋_GB2312" w:cs="仿宋_GB2312" w:eastAsia="仿宋_GB2312"/>
        </w:rPr>
        <w:t>和</w:t>
      </w:r>
      <w:r>
        <w:rPr>
          <w:rFonts w:ascii="仿宋_GB2312" w:hAnsi="仿宋_GB2312" w:cs="仿宋_GB2312" w:eastAsia="仿宋_GB2312"/>
        </w:rPr>
        <w:t>陕西明德招标有限责任公司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合阳县住房和城乡建设局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陕西明德招标有限责任公司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合阳县住房和城乡建设局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陕西明德招标有限责任公司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陕西明德招标有限责任公司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陕西明德招标有限责任公司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陕西明德招标有限责任公司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联系人：安倩</w:t>
      </w:r>
    </w:p>
    <w:p>
      <w:pPr>
        <w:pStyle w:val="null3"/>
      </w:pPr>
      <w:r>
        <w:rPr>
          <w:rFonts w:ascii="仿宋_GB2312" w:hAnsi="仿宋_GB2312" w:cs="仿宋_GB2312" w:eastAsia="仿宋_GB2312"/>
        </w:rPr>
        <w:t>联系电话：13474129951</w:t>
      </w:r>
    </w:p>
    <w:p>
      <w:pPr>
        <w:pStyle w:val="null3"/>
      </w:pPr>
      <w:r>
        <w:rPr>
          <w:rFonts w:ascii="仿宋_GB2312" w:hAnsi="仿宋_GB2312" w:cs="仿宋_GB2312" w:eastAsia="仿宋_GB2312"/>
        </w:rPr>
        <w:t>地址：陕西省西安市未央区太华北路甲字88号锦园国际广场10层1007</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合阳县城市更新规划编制项目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合阳县城市更新规划编制项目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标的名称：合阳县城市更新规划编制项目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32"/>
              </w:rPr>
              <w:t>一、基本要求</w:t>
            </w:r>
          </w:p>
          <w:p>
            <w:pPr>
              <w:pStyle w:val="null3"/>
              <w:ind w:firstLine="640"/>
              <w:jc w:val="both"/>
            </w:pPr>
            <w:r>
              <w:rPr>
                <w:rFonts w:ascii="仿宋_GB2312" w:hAnsi="仿宋_GB2312" w:cs="仿宋_GB2312" w:eastAsia="仿宋_GB2312"/>
                <w:sz w:val="32"/>
              </w:rPr>
              <w:t>为贯彻落实《中共中央办公厅国务院办公厅关于持续推进城市更新行动的意见》</w:t>
            </w:r>
            <w:r>
              <w:rPr>
                <w:rFonts w:ascii="仿宋_GB2312" w:hAnsi="仿宋_GB2312" w:cs="仿宋_GB2312" w:eastAsia="仿宋_GB2312"/>
                <w:sz w:val="32"/>
              </w:rPr>
              <w:t>(中办发〔2025〕34号)要求，加快</w:t>
            </w:r>
            <w:r>
              <w:rPr>
                <w:rFonts w:ascii="仿宋_GB2312" w:hAnsi="仿宋_GB2312" w:cs="仿宋_GB2312" w:eastAsia="仿宋_GB2312"/>
                <w:sz w:val="32"/>
              </w:rPr>
              <w:t>转变城市发展方式，</w:t>
            </w:r>
            <w:r>
              <w:rPr>
                <w:rFonts w:ascii="仿宋_GB2312" w:hAnsi="仿宋_GB2312" w:cs="仿宋_GB2312" w:eastAsia="仿宋_GB2312"/>
                <w:sz w:val="32"/>
              </w:rPr>
              <w:t>建立完善</w:t>
            </w:r>
            <w:r>
              <w:rPr>
                <w:rFonts w:ascii="仿宋_GB2312" w:hAnsi="仿宋_GB2312" w:cs="仿宋_GB2312" w:eastAsia="仿宋_GB2312"/>
                <w:sz w:val="32"/>
              </w:rPr>
              <w:t>“专项规划一片区策划一项目实施方案”的规划实施体系</w:t>
            </w:r>
            <w:r>
              <w:rPr>
                <w:rFonts w:ascii="仿宋_GB2312" w:hAnsi="仿宋_GB2312" w:cs="仿宋_GB2312" w:eastAsia="仿宋_GB2312"/>
                <w:sz w:val="32"/>
              </w:rPr>
              <w:t>，</w:t>
            </w:r>
            <w:r>
              <w:rPr>
                <w:rFonts w:ascii="仿宋_GB2312" w:hAnsi="仿宋_GB2312" w:cs="仿宋_GB2312" w:eastAsia="仿宋_GB2312"/>
                <w:sz w:val="32"/>
              </w:rPr>
              <w:t>根据《城市更新规划编制导则》</w:t>
            </w:r>
            <w:r>
              <w:rPr>
                <w:rFonts w:ascii="仿宋_GB2312" w:hAnsi="仿宋_GB2312" w:cs="仿宋_GB2312" w:eastAsia="仿宋_GB2312"/>
                <w:sz w:val="32"/>
              </w:rPr>
              <w:t>和</w:t>
            </w:r>
            <w:r>
              <w:rPr>
                <w:rFonts w:ascii="仿宋_GB2312" w:hAnsi="仿宋_GB2312" w:cs="仿宋_GB2312" w:eastAsia="仿宋_GB2312"/>
                <w:sz w:val="32"/>
              </w:rPr>
              <w:t>《陕西省城市更新规划编制导则》，结合城市体检评估成果</w:t>
            </w:r>
            <w:r>
              <w:rPr>
                <w:rFonts w:ascii="仿宋_GB2312" w:hAnsi="仿宋_GB2312" w:cs="仿宋_GB2312" w:eastAsia="仿宋_GB2312"/>
                <w:sz w:val="32"/>
              </w:rPr>
              <w:t>编制</w:t>
            </w:r>
            <w:r>
              <w:rPr>
                <w:rFonts w:ascii="仿宋_GB2312" w:hAnsi="仿宋_GB2312" w:cs="仿宋_GB2312" w:eastAsia="仿宋_GB2312"/>
                <w:sz w:val="32"/>
              </w:rPr>
              <w:t>5年城市更新规划</w:t>
            </w:r>
            <w:r>
              <w:rPr>
                <w:rFonts w:ascii="仿宋_GB2312" w:hAnsi="仿宋_GB2312" w:cs="仿宋_GB2312" w:eastAsia="仿宋_GB2312"/>
                <w:sz w:val="32"/>
              </w:rPr>
              <w:t>，确定城市更新行动目标、重点任务、建设项目和实施时序，建立完善规划实施体系，确保城市更新项目落地。</w:t>
            </w:r>
          </w:p>
          <w:p>
            <w:pPr>
              <w:pStyle w:val="null3"/>
              <w:ind w:firstLine="640"/>
              <w:jc w:val="both"/>
            </w:pPr>
            <w:r>
              <w:rPr>
                <w:rFonts w:ascii="仿宋_GB2312" w:hAnsi="仿宋_GB2312" w:cs="仿宋_GB2312" w:eastAsia="仿宋_GB2312"/>
                <w:sz w:val="32"/>
              </w:rPr>
              <w:t>城市更新规划是一定时期内统筹城镇开发边界内城市更新活动，谋划实施城市更新项目，推动城市结构优化、功能完善、文脉续、品质提升的规划，是编制和调整详细规划，配置资金和要素，完善相关配套政策的重要依据</w:t>
            </w:r>
            <w:r>
              <w:rPr>
                <w:rFonts w:ascii="仿宋_GB2312" w:hAnsi="仿宋_GB2312" w:cs="仿宋_GB2312" w:eastAsia="仿宋_GB2312"/>
                <w:sz w:val="32"/>
              </w:rPr>
              <w:t>，</w:t>
            </w:r>
            <w:r>
              <w:rPr>
                <w:rFonts w:ascii="仿宋_GB2312" w:hAnsi="仿宋_GB2312" w:cs="仿宋_GB2312" w:eastAsia="仿宋_GB2312"/>
                <w:sz w:val="32"/>
              </w:rPr>
              <w:t>编制完成的城市更新专项规划由同级人民政府审定后实施，作为城市更新项目实施申请中省资金、专项债和城市更新项目贷款的依据。</w:t>
            </w:r>
          </w:p>
          <w:p>
            <w:pPr>
              <w:pStyle w:val="null3"/>
              <w:ind w:firstLine="640"/>
              <w:jc w:val="both"/>
            </w:pPr>
            <w:r>
              <w:rPr>
                <w:rFonts w:ascii="仿宋_GB2312" w:hAnsi="仿宋_GB2312" w:cs="仿宋_GB2312" w:eastAsia="仿宋_GB2312"/>
                <w:sz w:val="32"/>
              </w:rPr>
              <w:t>二、需执行的国家相关标准、行业标准、地方标准或者其他标准、规范标准</w:t>
            </w:r>
          </w:p>
          <w:p>
            <w:pPr>
              <w:pStyle w:val="null3"/>
              <w:ind w:firstLine="640"/>
              <w:jc w:val="both"/>
            </w:pPr>
            <w:r>
              <w:rPr>
                <w:rFonts w:ascii="仿宋_GB2312" w:hAnsi="仿宋_GB2312" w:cs="仿宋_GB2312" w:eastAsia="仿宋_GB2312"/>
                <w:sz w:val="32"/>
              </w:rPr>
              <w:t>符合现行国家法律法规</w:t>
            </w:r>
            <w:r>
              <w:rPr>
                <w:rFonts w:ascii="仿宋_GB2312" w:hAnsi="仿宋_GB2312" w:cs="仿宋_GB2312" w:eastAsia="仿宋_GB2312"/>
                <w:sz w:val="32"/>
              </w:rPr>
              <w:t>、</w:t>
            </w:r>
            <w:r>
              <w:rPr>
                <w:rFonts w:ascii="仿宋_GB2312" w:hAnsi="仿宋_GB2312" w:cs="仿宋_GB2312" w:eastAsia="仿宋_GB2312"/>
                <w:sz w:val="32"/>
              </w:rPr>
              <w:t>陕西省地方政策标准</w:t>
            </w:r>
            <w:r>
              <w:rPr>
                <w:rFonts w:ascii="仿宋_GB2312" w:hAnsi="仿宋_GB2312" w:cs="仿宋_GB2312" w:eastAsia="仿宋_GB2312"/>
                <w:sz w:val="32"/>
              </w:rPr>
              <w:t>及行业规范标准。</w:t>
            </w:r>
          </w:p>
          <w:p>
            <w:pPr>
              <w:pStyle w:val="null3"/>
              <w:ind w:firstLine="640"/>
              <w:jc w:val="both"/>
            </w:pPr>
            <w:r>
              <w:rPr>
                <w:rFonts w:ascii="仿宋_GB2312" w:hAnsi="仿宋_GB2312" w:cs="仿宋_GB2312" w:eastAsia="仿宋_GB2312"/>
                <w:sz w:val="32"/>
              </w:rPr>
              <w:t>三、服务指标的具体要求</w:t>
            </w:r>
          </w:p>
          <w:p>
            <w:pPr>
              <w:pStyle w:val="null3"/>
              <w:spacing w:before="150"/>
              <w:ind w:firstLine="640"/>
              <w:jc w:val="both"/>
            </w:pPr>
            <w:r>
              <w:rPr>
                <w:rFonts w:ascii="仿宋_GB2312" w:hAnsi="仿宋_GB2312" w:cs="仿宋_GB2312" w:eastAsia="仿宋_GB2312"/>
                <w:sz w:val="32"/>
                <w:shd w:fill="FFFFFF" w:val="clear"/>
              </w:rPr>
              <w:t>1、</w:t>
            </w:r>
            <w:r>
              <w:rPr>
                <w:rFonts w:ascii="仿宋_GB2312" w:hAnsi="仿宋_GB2312" w:cs="仿宋_GB2312" w:eastAsia="仿宋_GB2312"/>
                <w:sz w:val="32"/>
                <w:shd w:fill="FFFFFF" w:val="clear"/>
              </w:rPr>
              <w:t>服务内容：</w:t>
            </w:r>
            <w:r>
              <w:rPr>
                <w:rFonts w:ascii="仿宋_GB2312" w:hAnsi="仿宋_GB2312" w:cs="仿宋_GB2312" w:eastAsia="仿宋_GB2312"/>
                <w:sz w:val="32"/>
                <w:shd w:fill="FFFFFF" w:val="clear"/>
              </w:rPr>
              <w:t>按照陕西省城市更新规划编制导则要求，</w:t>
            </w:r>
            <w:r>
              <w:rPr>
                <w:rFonts w:ascii="仿宋_GB2312" w:hAnsi="仿宋_GB2312" w:cs="仿宋_GB2312" w:eastAsia="仿宋_GB2312"/>
                <w:sz w:val="32"/>
                <w:shd w:fill="FFFFFF" w:val="clear"/>
              </w:rPr>
              <w:t>从</w:t>
            </w:r>
            <w:r>
              <w:rPr>
                <w:rFonts w:ascii="仿宋_GB2312" w:hAnsi="仿宋_GB2312" w:cs="仿宋_GB2312" w:eastAsia="仿宋_GB2312"/>
                <w:sz w:val="32"/>
                <w:shd w:fill="FFFFFF" w:val="clear"/>
              </w:rPr>
              <w:t>“加强既有建筑改造利用、推进城镇老旧小区整治改造、开展完整社区建设、推进老旧街区、老旧厂区、城中村等更新改造、</w:t>
            </w:r>
            <w:r>
              <w:rPr>
                <w:rFonts w:ascii="仿宋_GB2312" w:hAnsi="仿宋_GB2312" w:cs="仿宋_GB2312" w:eastAsia="仿宋_GB2312"/>
                <w:sz w:val="32"/>
                <w:shd w:fill="FFFFFF" w:val="clear"/>
              </w:rPr>
              <w:t>完善城市功能、加强城市基础设施建设改造、修复城市生态系统、保护传承城市历史文化</w:t>
            </w:r>
            <w:r>
              <w:rPr>
                <w:rFonts w:ascii="仿宋_GB2312" w:hAnsi="仿宋_GB2312" w:cs="仿宋_GB2312" w:eastAsia="仿宋_GB2312"/>
                <w:sz w:val="32"/>
                <w:shd w:fill="FFFFFF" w:val="clear"/>
              </w:rPr>
              <w:t>”八个方面，梳理城市发展的方向和目标，划定更新片区，设计优化城市功能结构和空间形态，明确</w:t>
            </w:r>
            <w:r>
              <w:rPr>
                <w:rFonts w:ascii="仿宋_GB2312" w:hAnsi="仿宋_GB2312" w:cs="仿宋_GB2312" w:eastAsia="仿宋_GB2312"/>
                <w:sz w:val="32"/>
                <w:shd w:fill="FFFFFF" w:val="clear"/>
              </w:rPr>
              <w:t>住房、小区（社区）、街区、城区</w:t>
            </w:r>
            <w:r>
              <w:rPr>
                <w:rFonts w:ascii="仿宋_GB2312" w:hAnsi="仿宋_GB2312" w:cs="仿宋_GB2312" w:eastAsia="仿宋_GB2312"/>
                <w:sz w:val="32"/>
                <w:shd w:fill="FFFFFF" w:val="clear"/>
              </w:rPr>
              <w:t>更新原则和红线要求，建立城市更新项目库，提出土地、财政等配套支持的政策建议。</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32"/>
              </w:rPr>
              <w:t>规划要求：紧密街接城市中长期发展战略需求，结合本地</w:t>
            </w:r>
            <w:r>
              <w:rPr>
                <w:rFonts w:ascii="仿宋_GB2312" w:hAnsi="仿宋_GB2312" w:cs="仿宋_GB2312" w:eastAsia="仿宋_GB2312"/>
                <w:sz w:val="32"/>
              </w:rPr>
              <w:t>“十五五”规划发展战略，提出城市更新战略重点与总体思路。划定城市更新片区，建立更新项目库，结合城市历史文脉、自然景观、城市地域特色，明确风貌分区提出城市功能结构和空间形态优化要求，确定房屋、小区、街区、城区、城市的更新设计原则，对街区与建筑、公共空间、视线通廊、城市界面、色彩分区等提出城市设计引导要求。谋划产业空间转型，推动空间功能混合与活力业态植入，根据更新需求开展策划与设计。</w:t>
            </w:r>
          </w:p>
          <w:p>
            <w:pPr>
              <w:pStyle w:val="null3"/>
              <w:ind w:firstLine="640"/>
              <w:jc w:val="both"/>
            </w:pPr>
            <w:r>
              <w:rPr>
                <w:rFonts w:ascii="仿宋_GB2312" w:hAnsi="仿宋_GB2312" w:cs="仿宋_GB2312" w:eastAsia="仿宋_GB2312"/>
                <w:sz w:val="32"/>
              </w:rPr>
              <w:t>3、重点任务：围绕城市体检结果，针对问题短板，以推进城市更新八项重点任务为目标，提出未来五年的更新规划。</w:t>
            </w:r>
          </w:p>
          <w:p>
            <w:pPr>
              <w:pStyle w:val="null3"/>
              <w:ind w:firstLine="640"/>
              <w:jc w:val="both"/>
            </w:pPr>
            <w:r>
              <w:rPr>
                <w:rFonts w:ascii="仿宋_GB2312" w:hAnsi="仿宋_GB2312" w:cs="仿宋_GB2312" w:eastAsia="仿宋_GB2312"/>
                <w:sz w:val="32"/>
              </w:rPr>
              <w:t>四</w:t>
            </w:r>
            <w:r>
              <w:rPr>
                <w:rFonts w:ascii="仿宋_GB2312" w:hAnsi="仿宋_GB2312" w:cs="仿宋_GB2312" w:eastAsia="仿宋_GB2312"/>
                <w:sz w:val="32"/>
              </w:rPr>
              <w:t>、服务质量、标准、期限、效率等要求</w:t>
            </w:r>
          </w:p>
          <w:p>
            <w:pPr>
              <w:pStyle w:val="null3"/>
              <w:ind w:firstLine="640"/>
              <w:jc w:val="both"/>
            </w:pPr>
            <w:r>
              <w:rPr>
                <w:rFonts w:ascii="仿宋_GB2312" w:hAnsi="仿宋_GB2312" w:cs="仿宋_GB2312" w:eastAsia="仿宋_GB2312"/>
                <w:sz w:val="32"/>
              </w:rPr>
              <w:t>1、服务内容：</w:t>
            </w:r>
            <w:r>
              <w:rPr>
                <w:rFonts w:ascii="仿宋_GB2312" w:hAnsi="仿宋_GB2312" w:cs="仿宋_GB2312" w:eastAsia="仿宋_GB2312"/>
                <w:sz w:val="32"/>
              </w:rPr>
              <w:t>按</w:t>
            </w:r>
            <w:r>
              <w:rPr>
                <w:rFonts w:ascii="仿宋_GB2312" w:hAnsi="仿宋_GB2312" w:cs="仿宋_GB2312" w:eastAsia="仿宋_GB2312"/>
                <w:sz w:val="32"/>
              </w:rPr>
              <w:t>照陕西省城市更新规划编制导则要求，</w:t>
            </w:r>
            <w:r>
              <w:rPr>
                <w:rFonts w:ascii="仿宋_GB2312" w:hAnsi="仿宋_GB2312" w:cs="仿宋_GB2312" w:eastAsia="仿宋_GB2312"/>
                <w:sz w:val="32"/>
              </w:rPr>
              <w:t>围绕八项重点任务，</w:t>
            </w:r>
            <w:r>
              <w:rPr>
                <w:rFonts w:ascii="仿宋_GB2312" w:hAnsi="仿宋_GB2312" w:cs="仿宋_GB2312" w:eastAsia="仿宋_GB2312"/>
                <w:sz w:val="32"/>
              </w:rPr>
              <w:t>梳理城市发展的方向和目标，划定更新片区，设计优化城市功能结构和空间形态，明确住房、小区（社区）、街区、城区更新原则和红线要求，建立城市更新项目库，提出土地、财政等配套支持的政策建议。</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32"/>
              </w:rPr>
              <w:t>、服务期限：自合同签订之日起</w:t>
            </w:r>
            <w:r>
              <w:rPr>
                <w:rFonts w:ascii="仿宋_GB2312" w:hAnsi="仿宋_GB2312" w:cs="仿宋_GB2312" w:eastAsia="仿宋_GB2312"/>
                <w:sz w:val="32"/>
              </w:rPr>
              <w:t>90日历天。</w:t>
            </w:r>
          </w:p>
          <w:p>
            <w:pPr>
              <w:pStyle w:val="null3"/>
              <w:ind w:firstLine="640"/>
              <w:jc w:val="both"/>
            </w:pPr>
            <w:r>
              <w:rPr>
                <w:rFonts w:ascii="仿宋_GB2312" w:hAnsi="仿宋_GB2312" w:cs="仿宋_GB2312" w:eastAsia="仿宋_GB2312"/>
                <w:sz w:val="32"/>
              </w:rPr>
              <w:t>3、服务标准：符合国家相关标准及采购人要求。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提交初步成果后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成果通过专家验收后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根据专家意见修改后成果经规划委员会评审确定实施后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成交结果公示发布后，成交供应商须向采购代理机构提供一正两副（和上传文件保持一致的）纸质投标（响应）文件用于备案及档案保存。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（1）提供合格有效的法人或者其他组织的营业执照等证明文件，自然人的身份证明；供应商是法人或其他组织的应提供营业执照等证明文件，供应商是自然人的应提供有效的自然人身份证明； （2）财务状况：提供2024年度经审计的财务报告（成立时间至提交投标文件截止时间不足一年的可提供成立后任意时段的资产负债表、利润表），或提交开标前六个月内银行出具的资信证明，或信用担保机构出具的投标担保函，或承诺书（以上四种形式的资料提供任何一种即可）；其他组织和自然人提供银行出具的资信证明或财务报表或承诺书 （3）税收缴纳证明：提供投标截止之日前近六个月内至少一个月的纳税证明或完税证明（增值税，印花税，城市维护建设费，企业所得税等一种或多种税种）或承诺书（以上三种形式的资料提供任何一种即可），依法免税的单位应提供相关证明材料； （4）社会保障资金缴纳证明：提供投标截止之日前近六个月内至少一个月的社会保障资金缴存单据或社保机构开具的社会保险参保缴费情况证明或承诺书（以上三种形式的资料提供任何一种即可），依法不需要缴纳社会保障资金的单位应提供相关证明材料； （5）提供具有履行合同所必需的设备和专业技术能力的承诺； （6）参加政府采购活动前3年内在经营活动中没有重大违法记录的书面声明； （7）具备法律、行政法规规定的其他条件(由供应商根据项目需求提供说明材料或者承诺)；，供应商需在项目电子化交易系统中按要求填写《投标函》完成承诺并进行电子签章。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利润表），或提交开标前六个月内银行出具的资信证明，或信用担保机构出具的投标担保函，或承诺书（以上四种形式的资料提供任何一种即可）；其他组织和自然人提供银行出具的资信证明或财务报表或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法定代表人授权书及被授权人身份证明。（法定代表人直接磋商只须提交其身份证明）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供应商须具备城乡规划乙级以上（含乙级）资质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非联合体投标书面声明</w:t>
            </w:r>
          </w:p>
        </w:tc>
        <w:tc>
          <w:tcPr>
            <w:tcW w:type="dxa" w:w="3322"/>
          </w:tcPr>
          <w:p>
            <w:pPr>
              <w:pStyle w:val="null3"/>
            </w:pPr>
            <w:r>
              <w:rPr>
                <w:rFonts w:ascii="仿宋_GB2312" w:hAnsi="仿宋_GB2312" w:cs="仿宋_GB2312" w:eastAsia="仿宋_GB2312"/>
              </w:rPr>
              <w:t>本项目不接受联合体投标（提供书面声明）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投标有效期达到磋商文件要求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响应文件封面 商务和技术偏差表.docx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规划编制目标</w:t>
            </w:r>
          </w:p>
        </w:tc>
        <w:tc>
          <w:tcPr>
            <w:tcW w:type="dxa" w:w="2492"/>
          </w:tcPr>
          <w:p>
            <w:pPr>
              <w:pStyle w:val="null3"/>
            </w:pPr>
            <w:r>
              <w:rPr>
                <w:rFonts w:ascii="仿宋_GB2312" w:hAnsi="仿宋_GB2312" w:cs="仿宋_GB2312" w:eastAsia="仿宋_GB2312"/>
              </w:rPr>
              <w:t>针对本项目提出适用于本项目的规划编制目标，方案包括但不限于①总体目标；②重点区域更新目标；③成果质量目标。 ①总体目标：（1）方案详细具体科学合理且具有针对性、可行性得4分；（2）方案明确具有一定的针对性、可行性得2分；（3）方案合理性不足，无针对性、可行性，内容空洞，可行性不强得1分。 ②重点区域更新目标：（1）方案详细具体科学合理且具有针对性、可行性得4分；（2）方案明确具有一定的针对性、可行性得2分；（3）方案合理性不足，无针对性、可行性，内容空洞，可行性不强得1分。 ③成果质量目标：（1）方案详细具体科学合理且具有针对性、可行性得4分；（2）方案明确具有一定的针对性、可行性得2分；（3）方案合理性不足，无针对性、可行性，内容空洞，可行性不强得1分。 注：不提供得 0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规划工作制度</w:t>
            </w:r>
          </w:p>
        </w:tc>
        <w:tc>
          <w:tcPr>
            <w:tcW w:type="dxa" w:w="2492"/>
          </w:tcPr>
          <w:p>
            <w:pPr>
              <w:pStyle w:val="null3"/>
            </w:pPr>
            <w:r>
              <w:rPr>
                <w:rFonts w:ascii="仿宋_GB2312" w:hAnsi="仿宋_GB2312" w:cs="仿宋_GB2312" w:eastAsia="仿宋_GB2312"/>
              </w:rPr>
              <w:t>针对本项目提出适用于本项目的规划工作制度，方案包括但不限于①现场调研工作制度；②内部技术审核制度；③跨部门协作服务制度 ①现场调研工作制度：（1）方案详细具体科学合理且具有针对性、可行性得3分；（2）方案明确具有一定的针对性、可行性得2分；（3）方案合理性不足，无针对性、可行性，内容空洞，可行性不强得1分。 ②内部技术审核制度：（1）方案详细具体科学合理且具有针对性、可行性得3分；（2）方案明确具有一定的针对性、可行性得2分；（3）方案合理性不足，无针对性、可行性，内容空洞，可行性不强得1分。 ③跨部门协作服务制度：（1）方案详细具体科学合理且具有针对性、可行性得3分；（2）方案明确具有一定的针对性、可行性得2分；（3）方案合理性不足，无针对性、可行性，内容空洞，可行性不强得1分。 注：不提供得 0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规划资料与档案管理措施</w:t>
            </w:r>
          </w:p>
        </w:tc>
        <w:tc>
          <w:tcPr>
            <w:tcW w:type="dxa" w:w="2492"/>
          </w:tcPr>
          <w:p>
            <w:pPr>
              <w:pStyle w:val="null3"/>
            </w:pPr>
            <w:r>
              <w:rPr>
                <w:rFonts w:ascii="仿宋_GB2312" w:hAnsi="仿宋_GB2312" w:cs="仿宋_GB2312" w:eastAsia="仿宋_GB2312"/>
              </w:rPr>
              <w:t>针对本项目提出适用于本项目的规划资料与档案管理措施，方案包括但不限于①规划资料与档案存放、移交管理制度；②规划资料与档案保管人员安排及职责。 ①规划资料与档案存放、移交管理制度：（1）方案详细具体科学合理且具有针对性、可行性得3分；（2）方案明确具有一定的针对性、可行性得2分；（3）方案合理性不足，无针对性、可行性，内容空洞，可行性不强得1分。 ②规划资料与档案保管人员安排及职责：（1）方案详细具体科学合理且具有针对性、可行性得3分；（2）方案明确具有一定的针对性、可行性得2分；（3）方案合理性不足，无针对性、可行性，内容空洞，可行性不强得1分。 注：不提供得 0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规划工作重点、难点分析及对策</w:t>
            </w:r>
          </w:p>
        </w:tc>
        <w:tc>
          <w:tcPr>
            <w:tcW w:type="dxa" w:w="2492"/>
          </w:tcPr>
          <w:p>
            <w:pPr>
              <w:pStyle w:val="null3"/>
            </w:pPr>
            <w:r>
              <w:rPr>
                <w:rFonts w:ascii="仿宋_GB2312" w:hAnsi="仿宋_GB2312" w:cs="仿宋_GB2312" w:eastAsia="仿宋_GB2312"/>
              </w:rPr>
              <w:t>针对本项目提出适用于本项目的规划工作重点、难点分析及对策，方案包括但不限于①针对本项目的重点、难点分析；②针对本项目的重点、难点的对策。 ①针对本项目的重点、难点分析：（1）方案详细具体科学合理且具有针对性、可行性得4分；（2）方案明确具有一定的针对性、可行性得2分；（3）方案合理性不足，无针对性、可行性，内容空洞，可行性不强得1分。 ②针对本项目的重点、难点的对策：（1）方案详细具体科学合理且具有针对性、可行性得3分；（2）方案明确具有一定的针对性、可行性得2分；（3）方案合理性不足，无针对性、可行性，内容空洞，可行性不强得1分。 注：不提供得 0 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规划工作质量控制</w:t>
            </w:r>
          </w:p>
        </w:tc>
        <w:tc>
          <w:tcPr>
            <w:tcW w:type="dxa" w:w="2492"/>
          </w:tcPr>
          <w:p>
            <w:pPr>
              <w:pStyle w:val="null3"/>
            </w:pPr>
            <w:r>
              <w:rPr>
                <w:rFonts w:ascii="仿宋_GB2312" w:hAnsi="仿宋_GB2312" w:cs="仿宋_GB2312" w:eastAsia="仿宋_GB2312"/>
              </w:rPr>
              <w:t>针对本项目提出适用于本项目的规划工作质量控制，方案包括但不限于①质量管理控制的基本流程；②规划质量控制的原则；③项目各阶段的质量控制措施。 ①质量管理控制的基本流程：（1）方案详细具体科学合理且具有针对性、可行性得3分；（2）方案明确具有一定的针对性、可行性得2分；（3）方案合理性不足，无针对性、可行性，内容空洞，可行性不强得1分。 ②规划质量控制的原则：（1）方案详细具体科学合理且具有针对性、可行性得3分；（2）方案明确具有一定的针对性、可行性得2分；（3）方案合理性不足，无针对性、可行性，内容空洞，可行性不强得1分。 ③项目各阶段的质量控制措施：（1）方案详细具体科学合理且具有针对性、可行性得3分；（2）方案明确具有一定的针对性、可行性得2分；（3）方案合理性不足，无针对性、可行性，内容空洞，可行性不强得1分。 注：不提供得 0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规划工作进度计划安排及保障措施</w:t>
            </w:r>
          </w:p>
        </w:tc>
        <w:tc>
          <w:tcPr>
            <w:tcW w:type="dxa" w:w="2492"/>
          </w:tcPr>
          <w:p>
            <w:pPr>
              <w:pStyle w:val="null3"/>
            </w:pPr>
            <w:r>
              <w:rPr>
                <w:rFonts w:ascii="仿宋_GB2312" w:hAnsi="仿宋_GB2312" w:cs="仿宋_GB2312" w:eastAsia="仿宋_GB2312"/>
              </w:rPr>
              <w:t>针对本项目提出适用于本项目的规划工作进度计划安排及保障措施，方案包括但不限于①规划工作进度计划安排；②规划工作进度计划保障措施。 ①规划工作进度计划安排：（1）方案详细具体科学合理且具有针对性、可行性得4分；（2）方案明确具有一定的针对性、可行性得2分；（3）方案合理性不足，无针对性、可行性，内容空洞，可行性不强得1分。 ②规划工作进度计划保障措施：（1）方案详细具体科学合理且具有针对性、可行性得4分；（2）方案明确具有一定的针对性、可行性得2分；（3）方案合理性不足，无针对性、可行性，内容空洞，可行性不强得1分。 注：不提供得 0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规划成果验收服务的保障措施</w:t>
            </w:r>
          </w:p>
        </w:tc>
        <w:tc>
          <w:tcPr>
            <w:tcW w:type="dxa" w:w="2492"/>
          </w:tcPr>
          <w:p>
            <w:pPr>
              <w:pStyle w:val="null3"/>
            </w:pPr>
            <w:r>
              <w:rPr>
                <w:rFonts w:ascii="仿宋_GB2312" w:hAnsi="仿宋_GB2312" w:cs="仿宋_GB2312" w:eastAsia="仿宋_GB2312"/>
              </w:rPr>
              <w:t>针对本项目提出适用于本项目的规划成果验收服务的保障措施，方案包括但不限于①验收前期准备保障；②验收过程管控保障；③验收后服务保障。 ①验收前期准备保障：（1）方案详细具体科学合理且具有针对性、可行性得3分；（2）方案明确具有一定的针对性、可行性得2分；（3）方案合理性不足，无针对性、可行性，内容空洞，可行性不强得1分。 ②验收过程管控保障：（1）方案详细具体科学合理且具有针对性、可行性得3分；（2）方案明确具有一定的针对性、可行性得2分；（3）方案合理性不足，无针对性、可行性，内容空洞，可行性不强得1分。 ③验收后服务保障：（1）方案详细具体科学合理且具有针对性、可行性得3分；（2）方案明确具有一定的针对性、可行性得2分；（3）方案合理性不足，无针对性、可行性，内容空洞，可行性不强得1分。 注：不提供得 0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规划工作程序和方法</w:t>
            </w:r>
          </w:p>
        </w:tc>
        <w:tc>
          <w:tcPr>
            <w:tcW w:type="dxa" w:w="2492"/>
          </w:tcPr>
          <w:p>
            <w:pPr>
              <w:pStyle w:val="null3"/>
            </w:pPr>
            <w:r>
              <w:rPr>
                <w:rFonts w:ascii="仿宋_GB2312" w:hAnsi="仿宋_GB2312" w:cs="仿宋_GB2312" w:eastAsia="仿宋_GB2312"/>
              </w:rPr>
              <w:t>针对本项目提出适用于本项目的规划工作程序和方法，方案包括但不限于①规划工作的程序；②规划工作的方法。 ①规划工作的程序：（1）方案详细具体科学合理且具有针对性、可行性得4分；（2）方案明确具有一定的针对性、可行性得2分；（3）方案合理性不足，无针对性、可行性，内容空洞，可行性不强得1分。 ②规划工作的方法：（1）方案详细具体科学合理且具有针对性、可行性得3分；（2）方案明确具有一定的针对性、可行性得2分；（3）方案合理性不足，无针对性、可行性，内容空洞，可行性不强得1分。 注：不提供得 0 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针对本项目提出适用于本项目的服务承诺，承诺包括但不限于①服务质量承诺；②服务周期承诺；③验收后质量服务承诺。 ①服务质量承诺：（1）方案详细具体科学合理且具有针对性、可行性得4分；（2）方案明确具有一定的针对性、可行性得2分；（3）方案合理性不足，无针对性、可行性，内容空洞，可行性不强得1分。 ②服务周期承诺：（1）方案详细具体科学合理且具有针对性、可行性得4分；（2）方案明确具有一定的针对性、可行性得2分；（3）方案合理性不足，无针对性、可行性，内容空洞，可行性不强得1分。 ③验收后质量服务承诺：（1）方案详细具体科学合理且具有针对性、可行性得4分；（2）方案明确具有一定的针对性、可行性得2分；（3）方案合理性不足，无针对性、可行性，内容空洞，可行性不强得1分。 注：不提供得 0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项目组人员构成</w:t>
            </w:r>
          </w:p>
        </w:tc>
        <w:tc>
          <w:tcPr>
            <w:tcW w:type="dxa" w:w="2492"/>
          </w:tcPr>
          <w:p>
            <w:pPr>
              <w:pStyle w:val="null3"/>
            </w:pPr>
            <w:r>
              <w:rPr>
                <w:rFonts w:ascii="仿宋_GB2312" w:hAnsi="仿宋_GB2312" w:cs="仿宋_GB2312" w:eastAsia="仿宋_GB2312"/>
              </w:rPr>
              <w:t>针对本项目所配备人员及岗位职责情况（数量、资质、经验、从业年限等）进行综合评审。 1、拟投入的服务人员架构齐全、数量充足，项目负责人具备注册城乡规划师资质且具备高级及以上职称，其他配备人员具有中级职称4人及以上得6分； 2、拟配备服务团队人员架构明确、数量基本充足，项目负责人具备注册城乡规划师资质且具备中级职称，其他配备人员具有中级职称2人及以上得4分； 3、拟配备服务团队人员架构不明确、数量不足，项目负责人无注册资质但具有中级职称或具有注册资质但不具有中级职称，其他配备人员具有中级职称＜2人得 2 分； 注：不提供得 0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价格分统一采用低价优先法计算，具体规则如下：1. 确定评标基准价：满足磋商文件要求且投标报价最低的投标报价为评标基准价，其价格分为满分 15 分；2. 其他供应商价格分计算：价格分 =(评标基准价 / 投标报价)×15×100%；3. 计算结果保留小数点后两位，四舍五入；4. 若出现多家供应商投标报价相同且均为最低报价的情况，该部分投标人的价格分均按满分 15 分计算。</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详见附件：商务和技术偏差表.docx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