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EC54FE">
      <w:pPr>
        <w:tabs>
          <w:tab w:val="left" w:pos="735"/>
        </w:tabs>
        <w:autoSpaceDE w:val="0"/>
        <w:autoSpaceDN w:val="0"/>
        <w:adjustRightInd w:val="0"/>
        <w:snapToGrid w:val="0"/>
        <w:spacing w:before="843" w:beforeLines="100" w:line="360" w:lineRule="auto"/>
        <w:rPr>
          <w:rFonts w:hint="eastAsia" w:ascii="仿宋" w:hAnsi="仿宋" w:eastAsia="仿宋" w:cs="仿宋"/>
          <w:b/>
          <w:bCs/>
          <w:sz w:val="20"/>
          <w:szCs w:val="20"/>
          <w:lang w:val="zh-CN"/>
        </w:rPr>
      </w:pPr>
      <w:r>
        <w:rPr>
          <w:rFonts w:hint="eastAsia" w:ascii="仿宋" w:hAnsi="仿宋" w:eastAsia="仿宋" w:cs="仿宋"/>
          <w:b/>
          <w:bCs/>
          <w:sz w:val="20"/>
          <w:szCs w:val="20"/>
          <w:lang w:val="zh-CN"/>
        </w:rPr>
        <w:t>甲方：</w:t>
      </w:r>
      <w:r>
        <w:rPr>
          <w:rFonts w:hint="eastAsia" w:ascii="仿宋" w:hAnsi="仿宋" w:eastAsia="仿宋" w:cs="仿宋"/>
          <w:bCs/>
          <w:sz w:val="20"/>
          <w:szCs w:val="20"/>
          <w:lang w:val="zh-CN"/>
        </w:rPr>
        <w:t>（前款所称采购人）     住所：</w:t>
      </w:r>
    </w:p>
    <w:p w14:paraId="20781F59">
      <w:pPr>
        <w:tabs>
          <w:tab w:val="left" w:pos="735"/>
        </w:tabs>
        <w:autoSpaceDE w:val="0"/>
        <w:autoSpaceDN w:val="0"/>
        <w:adjustRightInd w:val="0"/>
        <w:snapToGrid w:val="0"/>
        <w:spacing w:line="360" w:lineRule="auto"/>
        <w:rPr>
          <w:rFonts w:hint="eastAsia" w:ascii="仿宋" w:hAnsi="仿宋" w:eastAsia="仿宋" w:cs="仿宋"/>
          <w:bCs/>
          <w:sz w:val="20"/>
          <w:szCs w:val="20"/>
          <w:lang w:val="zh-CN"/>
        </w:rPr>
      </w:pPr>
      <w:r>
        <w:rPr>
          <w:rFonts w:hint="eastAsia" w:ascii="仿宋" w:hAnsi="仿宋" w:eastAsia="仿宋" w:cs="仿宋"/>
          <w:b/>
          <w:bCs/>
          <w:sz w:val="20"/>
          <w:szCs w:val="20"/>
          <w:lang w:val="zh-CN"/>
        </w:rPr>
        <w:t>乙方：</w:t>
      </w:r>
      <w:r>
        <w:rPr>
          <w:rFonts w:hint="eastAsia" w:ascii="仿宋" w:hAnsi="仿宋" w:eastAsia="仿宋" w:cs="仿宋"/>
          <w:bCs/>
          <w:sz w:val="20"/>
          <w:szCs w:val="20"/>
          <w:lang w:val="zh-CN"/>
        </w:rPr>
        <w:t>（前款所称中标人）     住所：</w:t>
      </w:r>
    </w:p>
    <w:p w14:paraId="5BF0659F">
      <w:pPr>
        <w:adjustRightInd w:val="0"/>
        <w:snapToGrid w:val="0"/>
        <w:spacing w:line="360" w:lineRule="auto"/>
        <w:ind w:firstLine="402" w:firstLineChars="200"/>
        <w:rPr>
          <w:rFonts w:hint="eastAsia" w:ascii="仿宋" w:hAnsi="仿宋" w:eastAsia="仿宋" w:cs="仿宋"/>
          <w:b/>
          <w:bCs/>
          <w:sz w:val="20"/>
          <w:szCs w:val="20"/>
        </w:rPr>
      </w:pPr>
      <w:bookmarkStart w:id="0" w:name="_Toc19515384"/>
      <w:r>
        <w:rPr>
          <w:rFonts w:hint="eastAsia" w:ascii="仿宋" w:hAnsi="仿宋" w:eastAsia="仿宋" w:cs="仿宋"/>
          <w:b/>
          <w:bCs/>
          <w:sz w:val="20"/>
          <w:szCs w:val="20"/>
        </w:rPr>
        <w:t>一、合同内容（标的、数量、质量等）:</w:t>
      </w:r>
      <w:bookmarkEnd w:id="0"/>
    </w:p>
    <w:p w14:paraId="0FA7E8E3">
      <w:pPr>
        <w:adjustRightInd w:val="0"/>
        <w:snapToGrid w:val="0"/>
        <w:spacing w:line="360" w:lineRule="auto"/>
        <w:ind w:firstLine="402" w:firstLineChars="200"/>
        <w:rPr>
          <w:rFonts w:hint="eastAsia" w:ascii="仿宋" w:hAnsi="仿宋" w:eastAsia="仿宋" w:cs="仿宋"/>
          <w:b/>
          <w:bCs/>
          <w:sz w:val="20"/>
          <w:szCs w:val="20"/>
        </w:rPr>
      </w:pPr>
      <w:bookmarkStart w:id="1" w:name="_Toc19515385"/>
      <w:r>
        <w:rPr>
          <w:rFonts w:hint="eastAsia" w:ascii="仿宋" w:hAnsi="仿宋" w:eastAsia="仿宋" w:cs="仿宋"/>
          <w:b/>
          <w:bCs/>
          <w:sz w:val="20"/>
          <w:szCs w:val="20"/>
        </w:rPr>
        <w:t>二、合同价款</w:t>
      </w:r>
      <w:bookmarkEnd w:id="1"/>
    </w:p>
    <w:p w14:paraId="3BF8DD85">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1、合同总价：</w:t>
      </w:r>
    </w:p>
    <w:p w14:paraId="29F19864">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2、合同总价包括：货物从供货地点到配送地点的运输费、保险费、搬运费等。</w:t>
      </w:r>
    </w:p>
    <w:p w14:paraId="0E1EDA63">
      <w:pPr>
        <w:adjustRightInd w:val="0"/>
        <w:snapToGrid w:val="0"/>
        <w:spacing w:line="360" w:lineRule="auto"/>
        <w:ind w:firstLine="400" w:firstLineChars="200"/>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rPr>
        <w:t>3、投标人为采购人下属各项目学校提供</w:t>
      </w:r>
      <w:r>
        <w:rPr>
          <w:rFonts w:hint="eastAsia" w:ascii="仿宋" w:hAnsi="仿宋" w:eastAsia="仿宋" w:cs="仿宋"/>
          <w:color w:val="auto"/>
          <w:sz w:val="20"/>
          <w:szCs w:val="20"/>
          <w:u w:val="single"/>
        </w:rPr>
        <w:t>（货物名称）</w:t>
      </w:r>
      <w:r>
        <w:rPr>
          <w:rFonts w:hint="eastAsia" w:ascii="仿宋" w:hAnsi="仿宋" w:eastAsia="仿宋" w:cs="仿宋"/>
          <w:color w:val="auto"/>
          <w:sz w:val="20"/>
          <w:szCs w:val="20"/>
        </w:rPr>
        <w:t>为</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lang w:val="en-US" w:eastAsia="zh-CN"/>
        </w:rPr>
        <w:t>元/斤/盒，合同产品单价（即投标产品单价）是完成招标内容和要求所需的单个产品的综合价格，包括单个采购货物的供应费、运杂费（含仓储费、运输费、保险费、装卸费、税金）、抽检费、运输过程中的损耗费以及所有产品达到正常使用条件下所包含的一切费用。合同执行过程中，若市场价格浮动过大（单价与超市价格相差大于5%）时，启动调价机制。具体为：当价格上涨持续一个月超过5%时,由投标人提出调价申请和调价依据。采购人和相关部门组成调价小组,对当地不少于3家大型超市同规格产品询价后做出是否需要进行单价调整的结论,并根据询价的平均价格确定调整后的价格。当价格下降持续一个月超过5%时，采购人和投标人会同相关部门组成询价小组对当地不少于3 家大型超市超市同规格产品询价后做出是否需要进行单价调整的结论,并根据询价的平均价确定调整后的价格（详见合阳县营养改善计划调价机制）。</w:t>
      </w:r>
    </w:p>
    <w:p w14:paraId="6500AF0D">
      <w:pPr>
        <w:adjustRightInd w:val="0"/>
        <w:snapToGrid w:val="0"/>
        <w:spacing w:line="360" w:lineRule="auto"/>
        <w:ind w:firstLine="400" w:firstLineChars="200"/>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4、数量：每次的配送数量以采购人提供的人数为准（含留样和陪餐数量），最终据实结算，即每次的实际配送量是周用量×人数。</w:t>
      </w:r>
    </w:p>
    <w:p w14:paraId="47518C35">
      <w:pPr>
        <w:adjustRightInd w:val="0"/>
        <w:snapToGrid w:val="0"/>
        <w:spacing w:line="360" w:lineRule="auto"/>
        <w:ind w:firstLine="400" w:firstLineChars="200"/>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5、合同总货款：根据采购人提供的人数，以配送数量和合同产品单价据实进行结算。</w:t>
      </w:r>
    </w:p>
    <w:p w14:paraId="71E2B3B4">
      <w:pPr>
        <w:adjustRightInd w:val="0"/>
        <w:snapToGrid w:val="0"/>
        <w:spacing w:line="360" w:lineRule="auto"/>
        <w:ind w:firstLine="402" w:firstLineChars="200"/>
        <w:rPr>
          <w:rFonts w:hint="eastAsia" w:ascii="仿宋" w:hAnsi="仿宋" w:eastAsia="仿宋" w:cs="仿宋"/>
          <w:sz w:val="20"/>
          <w:szCs w:val="20"/>
        </w:rPr>
      </w:pPr>
      <w:bookmarkStart w:id="2" w:name="_Toc19515386"/>
      <w:r>
        <w:rPr>
          <w:rFonts w:hint="eastAsia" w:ascii="仿宋" w:hAnsi="仿宋" w:eastAsia="仿宋" w:cs="仿宋"/>
          <w:b/>
          <w:bCs/>
          <w:sz w:val="20"/>
          <w:szCs w:val="20"/>
        </w:rPr>
        <w:t>三、合同结算</w:t>
      </w:r>
      <w:bookmarkEnd w:id="2"/>
    </w:p>
    <w:p w14:paraId="231C1E3B">
      <w:pPr>
        <w:adjustRightInd w:val="0"/>
        <w:snapToGrid w:val="0"/>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1、付款比例：依据在校天数按月据实结算，每次付款前，中标单位必须开具符合税务要求的全额正式税务发票及符合付款要求的相关资料，采购人根据结算付款审批程序办理，经审批后予以支付。</w:t>
      </w:r>
    </w:p>
    <w:p w14:paraId="4AB01BDB">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2、结算方式：银行转账。</w:t>
      </w:r>
    </w:p>
    <w:p w14:paraId="5A6B2680">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3、结算单位：由甲方负责结算。</w:t>
      </w:r>
    </w:p>
    <w:p w14:paraId="796A3C8A">
      <w:pPr>
        <w:adjustRightInd w:val="0"/>
        <w:snapToGrid w:val="0"/>
        <w:spacing w:line="360" w:lineRule="auto"/>
        <w:ind w:firstLine="402" w:firstLineChars="200"/>
        <w:rPr>
          <w:rFonts w:hint="eastAsia" w:ascii="仿宋" w:hAnsi="仿宋" w:eastAsia="仿宋" w:cs="仿宋"/>
          <w:b/>
          <w:bCs/>
          <w:sz w:val="20"/>
          <w:szCs w:val="20"/>
        </w:rPr>
      </w:pPr>
      <w:bookmarkStart w:id="3" w:name="_Toc19515387"/>
      <w:r>
        <w:rPr>
          <w:rFonts w:hint="eastAsia" w:ascii="仿宋" w:hAnsi="仿宋" w:eastAsia="仿宋" w:cs="仿宋"/>
          <w:b/>
          <w:bCs/>
          <w:sz w:val="20"/>
          <w:szCs w:val="20"/>
        </w:rPr>
        <w:t>四、</w:t>
      </w:r>
      <w:r>
        <w:rPr>
          <w:rFonts w:hint="eastAsia" w:ascii="仿宋" w:hAnsi="仿宋" w:eastAsia="仿宋" w:cs="仿宋"/>
          <w:b/>
          <w:bCs/>
          <w:sz w:val="20"/>
          <w:szCs w:val="20"/>
          <w:lang w:val="en-US" w:eastAsia="zh-CN"/>
        </w:rPr>
        <w:t>供货期</w:t>
      </w:r>
      <w:r>
        <w:rPr>
          <w:rFonts w:hint="eastAsia" w:ascii="仿宋" w:hAnsi="仿宋" w:eastAsia="仿宋" w:cs="仿宋"/>
          <w:b/>
          <w:bCs/>
          <w:sz w:val="20"/>
          <w:szCs w:val="20"/>
        </w:rPr>
        <w:t>、地点及方式:</w:t>
      </w:r>
      <w:bookmarkEnd w:id="3"/>
    </w:p>
    <w:p w14:paraId="24ADEBD2">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供货期</w:t>
      </w:r>
      <w:r>
        <w:rPr>
          <w:rFonts w:hint="eastAsia" w:ascii="仿宋" w:hAnsi="仿宋" w:eastAsia="仿宋" w:cs="仿宋"/>
          <w:sz w:val="20"/>
          <w:szCs w:val="20"/>
        </w:rPr>
        <w:t xml:space="preserve">：学生在校天数约为200天，采购人将根据省、市有关政策和规定进行供货时间调整。 </w:t>
      </w:r>
    </w:p>
    <w:p w14:paraId="44A37EDB">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具体要求:鸡蛋的配送日期距生产日期不超过7天，每次配送各学校1周用量。纯牛奶、大米、面粉、食用油、肉类的配送日期距生产日期不超过其保质期的一半，每次配送各学校2周用量。</w:t>
      </w:r>
    </w:p>
    <w:p w14:paraId="4453F348">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2、地点：采购人指定各项目学校</w:t>
      </w:r>
    </w:p>
    <w:p w14:paraId="6668403A">
      <w:pPr>
        <w:adjustRightInd w:val="0"/>
        <w:snapToGrid w:val="0"/>
        <w:spacing w:line="360" w:lineRule="auto"/>
        <w:ind w:firstLine="400" w:firstLineChars="200"/>
        <w:rPr>
          <w:rFonts w:hint="default" w:ascii="仿宋" w:hAnsi="仿宋" w:eastAsia="仿宋" w:cs="仿宋"/>
          <w:sz w:val="20"/>
          <w:szCs w:val="20"/>
          <w:lang w:val="en-US" w:eastAsia="zh-CN"/>
        </w:rPr>
      </w:pPr>
      <w:r>
        <w:rPr>
          <w:rFonts w:hint="eastAsia" w:ascii="仿宋" w:hAnsi="仿宋" w:eastAsia="仿宋" w:cs="仿宋"/>
          <w:sz w:val="20"/>
          <w:szCs w:val="20"/>
        </w:rPr>
        <w:t>3、方式：</w:t>
      </w:r>
      <w:r>
        <w:rPr>
          <w:rFonts w:hint="eastAsia" w:ascii="仿宋" w:hAnsi="仿宋" w:eastAsia="仿宋" w:cs="仿宋"/>
          <w:sz w:val="20"/>
          <w:szCs w:val="20"/>
          <w:lang w:val="en-US" w:eastAsia="zh-CN"/>
        </w:rPr>
        <w:t>现场履约</w:t>
      </w:r>
    </w:p>
    <w:p w14:paraId="07C3D49D">
      <w:pPr>
        <w:adjustRightInd w:val="0"/>
        <w:snapToGrid w:val="0"/>
        <w:spacing w:line="360" w:lineRule="auto"/>
        <w:ind w:firstLine="402" w:firstLineChars="200"/>
        <w:rPr>
          <w:rFonts w:hint="eastAsia" w:ascii="仿宋" w:hAnsi="仿宋" w:eastAsia="仿宋" w:cs="仿宋"/>
          <w:b/>
          <w:bCs/>
          <w:sz w:val="20"/>
          <w:szCs w:val="20"/>
        </w:rPr>
      </w:pPr>
      <w:r>
        <w:rPr>
          <w:rFonts w:hint="eastAsia" w:ascii="仿宋" w:hAnsi="仿宋" w:eastAsia="仿宋" w:cs="仿宋"/>
          <w:b/>
          <w:bCs/>
          <w:sz w:val="20"/>
          <w:szCs w:val="20"/>
          <w:lang w:val="en-US" w:eastAsia="zh-CN"/>
        </w:rPr>
        <w:t xml:space="preserve">五、 质量保证 </w:t>
      </w:r>
    </w:p>
    <w:p w14:paraId="5F4C46EE">
      <w:pPr>
        <w:adjustRightInd w:val="0"/>
        <w:snapToGrid w:val="0"/>
        <w:spacing w:line="360" w:lineRule="auto"/>
        <w:ind w:firstLine="400" w:firstLineChars="200"/>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1、中标单位严格按照招标文件要求及投标文件提供中标产品，并提供国家相关部门认可的检验或检测机构出具的产品质量检验报告。</w:t>
      </w:r>
    </w:p>
    <w:p w14:paraId="50498BE1">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2、投标人提供货物必须是投标人所投标品牌制造厂家生产的最新食品、最新口味，且经过国家法定部门办理正常生产、流通审批手续。</w:t>
      </w:r>
    </w:p>
    <w:p w14:paraId="5300AC5D">
      <w:pPr>
        <w:adjustRightInd w:val="0"/>
        <w:snapToGrid w:val="0"/>
        <w:spacing w:line="360" w:lineRule="auto"/>
        <w:ind w:firstLine="400" w:firstLineChars="200"/>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3、投标人所供货物是经过国家相关部门认可的检验或检测机构检验、注册、准许市场销售的合法产品。</w:t>
      </w:r>
    </w:p>
    <w:p w14:paraId="3A5D9DF1">
      <w:pPr>
        <w:adjustRightInd w:val="0"/>
        <w:snapToGrid w:val="0"/>
        <w:spacing w:line="360" w:lineRule="auto"/>
        <w:ind w:firstLine="400" w:firstLineChars="200"/>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4、货物质量保证措施完善，符合国家相关标准。投标人必须向采购人项目学校提供每批产品质检报告，确保质量、卫生不出问题，因质量问题导致使用者的健康损害以及给甲方及项目学校造成的全部损失均由乙方承担。损失包括间接损失和直接损失。</w:t>
      </w:r>
    </w:p>
    <w:p w14:paraId="1D83C834">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5、凡中标商品或品牌出现重大安全事故或严重的社会不良影响，采购方有权停止该商品或品牌在学生营养改善计划项目中的供应。</w:t>
      </w:r>
    </w:p>
    <w:p w14:paraId="56F871AE">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 xml:space="preserve">6、包装要求 </w:t>
      </w:r>
    </w:p>
    <w:p w14:paraId="2829F317">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6-1、除合同另有规定外，投标人提供的全部货物，均应按标准保护措施进行包装，并确保货物安全无损运抵采购人指定地点。</w:t>
      </w:r>
    </w:p>
    <w:p w14:paraId="74F5284D">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 xml:space="preserve">6-2、每一个包装箱内应附一份详细装箱单和质量合格证。 </w:t>
      </w:r>
    </w:p>
    <w:p w14:paraId="5D1349DE">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7、投标人应保证采购人在使用该货物或其任何一部分时免受第三方提出侵犯其专利权•商标权或工业设计权的起诉。</w:t>
      </w:r>
    </w:p>
    <w:p w14:paraId="62854BF2">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8、采购人随机从投标人配送的产品中抽取一部分，由采购人选定具备检验资质的检验机构进行检验、检测，每学期至少检验1次，供货期内检验次数不少于2次，必要时增加检验次数，检验费用由投标人承担（已含在投标报价中），对于检验不合格的现象，甲方直接终止合同，对于因质量问题导致使用者的健康损害以及给甲方及辖区项目学校造成的全部损失均由乙方承担。损失包括间接损失和直接损失。</w:t>
      </w:r>
    </w:p>
    <w:p w14:paraId="3AB4884D">
      <w:pPr>
        <w:adjustRightInd w:val="0"/>
        <w:snapToGrid w:val="0"/>
        <w:spacing w:line="360" w:lineRule="auto"/>
        <w:ind w:firstLine="402" w:firstLineChars="200"/>
        <w:rPr>
          <w:rFonts w:hint="eastAsia" w:ascii="仿宋" w:hAnsi="仿宋" w:eastAsia="仿宋" w:cs="仿宋"/>
          <w:b/>
          <w:bCs/>
          <w:sz w:val="20"/>
          <w:szCs w:val="20"/>
        </w:rPr>
      </w:pPr>
      <w:bookmarkStart w:id="4" w:name="_Toc19515391"/>
      <w:r>
        <w:rPr>
          <w:rFonts w:hint="eastAsia" w:ascii="仿宋" w:hAnsi="仿宋" w:eastAsia="仿宋" w:cs="仿宋"/>
          <w:b/>
          <w:bCs/>
          <w:sz w:val="20"/>
          <w:szCs w:val="20"/>
        </w:rPr>
        <w:t>六、验收</w:t>
      </w:r>
      <w:bookmarkEnd w:id="4"/>
    </w:p>
    <w:p w14:paraId="0FBFC9EA">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rPr>
        <w:t>、验收依据：</w:t>
      </w:r>
    </w:p>
    <w:p w14:paraId="190D0DDD">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1</w:t>
      </w:r>
      <w:r>
        <w:rPr>
          <w:rFonts w:hint="eastAsia" w:ascii="仿宋" w:hAnsi="仿宋" w:eastAsia="仿宋" w:cs="仿宋"/>
          <w:sz w:val="20"/>
          <w:szCs w:val="20"/>
        </w:rPr>
        <w:t>-1、合同文本、合同附件、招标文件、投标文件。</w:t>
      </w:r>
    </w:p>
    <w:p w14:paraId="739A5767">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1</w:t>
      </w:r>
      <w:r>
        <w:rPr>
          <w:rFonts w:hint="eastAsia" w:ascii="仿宋" w:hAnsi="仿宋" w:eastAsia="仿宋" w:cs="仿宋"/>
          <w:sz w:val="20"/>
          <w:szCs w:val="20"/>
        </w:rPr>
        <w:t>-2、国内相应的标准、规范。</w:t>
      </w:r>
    </w:p>
    <w:p w14:paraId="4EC67015">
      <w:pPr>
        <w:adjustRightInd w:val="0"/>
        <w:snapToGrid w:val="0"/>
        <w:spacing w:line="360" w:lineRule="auto"/>
        <w:ind w:firstLine="400" w:firstLineChars="200"/>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2、到货验收：货物到货后，由采购人或采购人下属各项目学校与投标人共同进行外观验收，验收内容包括，外包装的完好性，产品规格、数量及产地与合同要求的一致性。</w:t>
      </w:r>
    </w:p>
    <w:p w14:paraId="685D968F">
      <w:pPr>
        <w:adjustRightInd w:val="0"/>
        <w:snapToGrid w:val="0"/>
        <w:spacing w:line="360" w:lineRule="auto"/>
        <w:ind w:firstLine="400" w:firstLineChars="200"/>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3、产品验收：投标人到达采购人指定现场卸货后，由采购人组织验收（必要时可聘请相应专家或委托相应部门进行验收），验收合格后，出具收货证明。</w:t>
      </w:r>
    </w:p>
    <w:p w14:paraId="7FCD0DB6">
      <w:pPr>
        <w:adjustRightInd w:val="0"/>
        <w:snapToGrid w:val="0"/>
        <w:spacing w:line="360" w:lineRule="auto"/>
        <w:ind w:firstLine="402" w:firstLineChars="200"/>
        <w:rPr>
          <w:rFonts w:hint="eastAsia" w:ascii="仿宋" w:hAnsi="仿宋" w:eastAsia="仿宋" w:cs="仿宋"/>
          <w:b/>
          <w:bCs/>
          <w:sz w:val="20"/>
          <w:szCs w:val="20"/>
        </w:rPr>
      </w:pPr>
      <w:bookmarkStart w:id="5" w:name="_Toc19515392"/>
      <w:r>
        <w:rPr>
          <w:rFonts w:hint="eastAsia" w:ascii="仿宋" w:hAnsi="仿宋" w:eastAsia="仿宋" w:cs="仿宋"/>
          <w:b/>
          <w:bCs/>
          <w:sz w:val="20"/>
          <w:szCs w:val="20"/>
        </w:rPr>
        <w:t>七、违约责任</w:t>
      </w:r>
      <w:bookmarkEnd w:id="5"/>
    </w:p>
    <w:p w14:paraId="6CFBEB82">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1、按《中华人民共和国民法典》中的相关条款执行。</w:t>
      </w:r>
    </w:p>
    <w:p w14:paraId="044CE769">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2、乙方履约延误</w:t>
      </w:r>
    </w:p>
    <w:p w14:paraId="63473D94">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2-1、如乙方事先未征得甲方同意并得到甲方的谅解而单方面延迟执行合同，将按违约终止合同。</w:t>
      </w:r>
    </w:p>
    <w:p w14:paraId="19D0285F">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BF63200">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3、违约终止合同：未按合同要求提供服务或不能满足技术要求，甲方会同监督机构有权终止合同，对乙方违约行为进行追究，同时按政府采购法的有关规定进行相应的处罚。</w:t>
      </w:r>
    </w:p>
    <w:p w14:paraId="1F72DB47">
      <w:pPr>
        <w:adjustRightInd w:val="0"/>
        <w:snapToGrid w:val="0"/>
        <w:spacing w:line="360" w:lineRule="auto"/>
        <w:ind w:firstLine="400" w:firstLineChars="200"/>
        <w:rPr>
          <w:rFonts w:hint="eastAsia" w:ascii="仿宋" w:hAnsi="仿宋" w:eastAsia="仿宋" w:cs="仿宋"/>
          <w:sz w:val="20"/>
          <w:szCs w:val="20"/>
        </w:rPr>
      </w:pPr>
      <w:bookmarkStart w:id="6" w:name="_Toc19515393"/>
      <w:r>
        <w:rPr>
          <w:rFonts w:hint="eastAsia" w:ascii="仿宋" w:hAnsi="仿宋" w:eastAsia="仿宋" w:cs="仿宋"/>
          <w:sz w:val="20"/>
          <w:szCs w:val="20"/>
        </w:rPr>
        <w:t>八、合同组成</w:t>
      </w:r>
      <w:bookmarkEnd w:id="6"/>
    </w:p>
    <w:p w14:paraId="0EE9AD39">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1、中标通知书</w:t>
      </w:r>
    </w:p>
    <w:p w14:paraId="14A88194">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2、合同文件</w:t>
      </w:r>
    </w:p>
    <w:p w14:paraId="30B1782C">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3、国家相关规范及标准</w:t>
      </w:r>
    </w:p>
    <w:p w14:paraId="1A14CE29">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4、招标文件</w:t>
      </w:r>
    </w:p>
    <w:p w14:paraId="5F166938">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5、投标文件</w:t>
      </w:r>
    </w:p>
    <w:p w14:paraId="13BC5E5F">
      <w:pPr>
        <w:adjustRightInd w:val="0"/>
        <w:snapToGrid w:val="0"/>
        <w:spacing w:line="360" w:lineRule="auto"/>
        <w:ind w:firstLine="400" w:firstLineChars="200"/>
        <w:rPr>
          <w:rFonts w:hint="eastAsia" w:ascii="仿宋" w:hAnsi="仿宋" w:eastAsia="仿宋" w:cs="仿宋"/>
          <w:sz w:val="20"/>
          <w:szCs w:val="20"/>
        </w:rPr>
      </w:pPr>
      <w:bookmarkStart w:id="7" w:name="_Toc19515394"/>
      <w:r>
        <w:rPr>
          <w:rFonts w:hint="eastAsia" w:ascii="仿宋" w:hAnsi="仿宋" w:eastAsia="仿宋" w:cs="仿宋"/>
          <w:sz w:val="20"/>
          <w:szCs w:val="20"/>
        </w:rPr>
        <w:t>九、解决争议的方法</w:t>
      </w:r>
      <w:bookmarkEnd w:id="7"/>
    </w:p>
    <w:p w14:paraId="73CC46DF">
      <w:pPr>
        <w:widowControl/>
        <w:autoSpaceDE w:val="0"/>
        <w:autoSpaceDN w:val="0"/>
        <w:snapToGrid w:val="0"/>
        <w:spacing w:line="360" w:lineRule="auto"/>
        <w:ind w:right="-110" w:firstLine="400" w:firstLineChars="200"/>
        <w:textAlignment w:val="bottom"/>
        <w:rPr>
          <w:rFonts w:hint="eastAsia" w:ascii="仿宋" w:hAnsi="仿宋" w:eastAsia="仿宋" w:cs="仿宋"/>
          <w:kern w:val="0"/>
          <w:sz w:val="20"/>
          <w:szCs w:val="20"/>
        </w:rPr>
      </w:pPr>
      <w:r>
        <w:rPr>
          <w:rFonts w:hint="eastAsia" w:ascii="仿宋" w:hAnsi="仿宋" w:eastAsia="仿宋" w:cs="仿宋"/>
          <w:kern w:val="0"/>
          <w:sz w:val="20"/>
          <w:szCs w:val="20"/>
        </w:rPr>
        <w:t>凡因本合同引起的或与本合同有关的争议，双方应友好协商解决。协商不成时，双方均同意采用以下第（  ）种争议解决方式：</w:t>
      </w:r>
    </w:p>
    <w:p w14:paraId="2A406CA5">
      <w:pPr>
        <w:widowControl/>
        <w:autoSpaceDE w:val="0"/>
        <w:autoSpaceDN w:val="0"/>
        <w:snapToGrid w:val="0"/>
        <w:spacing w:line="360" w:lineRule="auto"/>
        <w:ind w:right="-110" w:firstLine="400" w:firstLineChars="200"/>
        <w:textAlignment w:val="bottom"/>
        <w:rPr>
          <w:rFonts w:hint="eastAsia" w:ascii="仿宋" w:hAnsi="仿宋" w:eastAsia="仿宋" w:cs="仿宋"/>
          <w:kern w:val="0"/>
          <w:sz w:val="20"/>
          <w:szCs w:val="20"/>
        </w:rPr>
      </w:pPr>
      <w:r>
        <w:rPr>
          <w:rFonts w:hint="eastAsia" w:ascii="仿宋" w:hAnsi="仿宋" w:eastAsia="仿宋" w:cs="仿宋"/>
          <w:kern w:val="0"/>
          <w:sz w:val="20"/>
          <w:szCs w:val="20"/>
        </w:rPr>
        <w:t>（1）甲、乙双方均同意向（甲方所在地人民法院）提起诉讼。</w:t>
      </w:r>
    </w:p>
    <w:p w14:paraId="7640E222">
      <w:pPr>
        <w:widowControl/>
        <w:autoSpaceDE w:val="0"/>
        <w:autoSpaceDN w:val="0"/>
        <w:snapToGrid w:val="0"/>
        <w:spacing w:line="360" w:lineRule="auto"/>
        <w:ind w:right="-110" w:firstLine="400" w:firstLineChars="200"/>
        <w:textAlignment w:val="bottom"/>
        <w:rPr>
          <w:rFonts w:hint="eastAsia" w:ascii="仿宋" w:hAnsi="仿宋" w:eastAsia="仿宋" w:cs="仿宋"/>
          <w:kern w:val="0"/>
          <w:sz w:val="20"/>
          <w:szCs w:val="20"/>
        </w:rPr>
      </w:pPr>
      <w:r>
        <w:rPr>
          <w:rFonts w:hint="eastAsia" w:ascii="仿宋" w:hAnsi="仿宋" w:eastAsia="仿宋" w:cs="仿宋"/>
          <w:kern w:val="0"/>
          <w:sz w:val="20"/>
          <w:szCs w:val="20"/>
        </w:rPr>
        <w:t>（2）甲、乙双方均同意向（</w:t>
      </w:r>
      <w:r>
        <w:rPr>
          <w:rFonts w:hint="eastAsia" w:ascii="仿宋" w:hAnsi="仿宋" w:eastAsia="仿宋" w:cs="仿宋"/>
          <w:kern w:val="0"/>
          <w:sz w:val="20"/>
          <w:szCs w:val="20"/>
        </w:rPr>
        <w:fldChar w:fldCharType="begin"/>
      </w:r>
      <w:r>
        <w:rPr>
          <w:rFonts w:hint="eastAsia" w:ascii="仿宋" w:hAnsi="仿宋" w:eastAsia="仿宋" w:cs="仿宋"/>
          <w:kern w:val="0"/>
          <w:sz w:val="20"/>
          <w:szCs w:val="20"/>
        </w:rPr>
        <w:instrText xml:space="preserve"> HYPERLINK "http://www.baidu.com/s?wd=%E4%BB%B2%E8%A3%81%E5%A7%94%E5%91%98%E4%BC%9A&amp;tn=SE_PcZhidaonwhc_ngpagmjz&amp;rsv_dl=gh_pc_zhidao" \t "_blank" </w:instrText>
      </w:r>
      <w:r>
        <w:rPr>
          <w:rFonts w:hint="eastAsia" w:ascii="仿宋" w:hAnsi="仿宋" w:eastAsia="仿宋" w:cs="仿宋"/>
          <w:kern w:val="0"/>
          <w:sz w:val="20"/>
          <w:szCs w:val="20"/>
        </w:rPr>
        <w:fldChar w:fldCharType="separate"/>
      </w:r>
      <w:r>
        <w:rPr>
          <w:rFonts w:hint="eastAsia" w:ascii="仿宋" w:hAnsi="仿宋" w:eastAsia="仿宋" w:cs="仿宋"/>
          <w:kern w:val="0"/>
          <w:sz w:val="20"/>
          <w:szCs w:val="20"/>
        </w:rPr>
        <w:t>仲裁委员会</w:t>
      </w:r>
      <w:r>
        <w:rPr>
          <w:rFonts w:hint="eastAsia" w:ascii="仿宋" w:hAnsi="仿宋" w:eastAsia="仿宋" w:cs="仿宋"/>
          <w:kern w:val="0"/>
          <w:sz w:val="20"/>
          <w:szCs w:val="20"/>
        </w:rPr>
        <w:fldChar w:fldCharType="end"/>
      </w:r>
      <w:r>
        <w:rPr>
          <w:rFonts w:hint="eastAsia" w:ascii="仿宋" w:hAnsi="仿宋" w:eastAsia="仿宋" w:cs="仿宋"/>
          <w:kern w:val="0"/>
          <w:sz w:val="20"/>
          <w:szCs w:val="20"/>
        </w:rPr>
        <w:t>）提起仲裁。</w:t>
      </w:r>
    </w:p>
    <w:p w14:paraId="193671D8">
      <w:pPr>
        <w:adjustRightInd w:val="0"/>
        <w:snapToGrid w:val="0"/>
        <w:spacing w:line="360" w:lineRule="auto"/>
        <w:ind w:firstLine="400" w:firstLineChars="200"/>
        <w:rPr>
          <w:rFonts w:hint="eastAsia" w:ascii="仿宋" w:hAnsi="仿宋" w:eastAsia="仿宋" w:cs="仿宋"/>
          <w:sz w:val="20"/>
          <w:szCs w:val="20"/>
        </w:rPr>
      </w:pPr>
      <w:bookmarkStart w:id="8" w:name="_Toc19515395"/>
      <w:r>
        <w:rPr>
          <w:rFonts w:hint="eastAsia" w:ascii="仿宋" w:hAnsi="仿宋" w:eastAsia="仿宋" w:cs="仿宋"/>
          <w:sz w:val="20"/>
          <w:szCs w:val="20"/>
        </w:rPr>
        <w:t>十、合同生效及其它</w:t>
      </w:r>
      <w:bookmarkEnd w:id="8"/>
    </w:p>
    <w:p w14:paraId="58F57809">
      <w:pPr>
        <w:widowControl/>
        <w:autoSpaceDE w:val="0"/>
        <w:autoSpaceDN w:val="0"/>
        <w:snapToGrid w:val="0"/>
        <w:spacing w:line="360" w:lineRule="auto"/>
        <w:ind w:right="-110" w:firstLine="400" w:firstLineChars="200"/>
        <w:textAlignment w:val="bottom"/>
        <w:rPr>
          <w:rFonts w:hint="eastAsia" w:ascii="仿宋" w:hAnsi="仿宋" w:eastAsia="仿宋" w:cs="仿宋"/>
          <w:kern w:val="0"/>
          <w:sz w:val="20"/>
          <w:szCs w:val="20"/>
        </w:rPr>
      </w:pPr>
      <w:r>
        <w:rPr>
          <w:rFonts w:hint="eastAsia" w:ascii="仿宋" w:hAnsi="仿宋" w:eastAsia="仿宋" w:cs="仿宋"/>
          <w:kern w:val="0"/>
          <w:sz w:val="20"/>
          <w:szCs w:val="20"/>
        </w:rPr>
        <w:t>1、合同未尽事宜、由甲、乙双方协商，作为合同补充，与原合同具有同等法律效力。</w:t>
      </w:r>
    </w:p>
    <w:p w14:paraId="02171011">
      <w:pPr>
        <w:widowControl/>
        <w:tabs>
          <w:tab w:val="left" w:pos="8391"/>
        </w:tabs>
        <w:autoSpaceDE w:val="0"/>
        <w:autoSpaceDN w:val="0"/>
        <w:snapToGrid w:val="0"/>
        <w:spacing w:line="360" w:lineRule="auto"/>
        <w:ind w:right="-69" w:firstLine="400" w:firstLineChars="200"/>
        <w:textAlignment w:val="bottom"/>
        <w:rPr>
          <w:rFonts w:hint="eastAsia" w:ascii="仿宋" w:hAnsi="仿宋" w:eastAsia="仿宋" w:cs="仿宋"/>
          <w:kern w:val="0"/>
          <w:sz w:val="20"/>
          <w:szCs w:val="20"/>
        </w:rPr>
      </w:pPr>
      <w:r>
        <w:rPr>
          <w:rFonts w:hint="eastAsia" w:ascii="仿宋" w:hAnsi="仿宋" w:eastAsia="仿宋" w:cs="仿宋"/>
          <w:kern w:val="0"/>
          <w:sz w:val="20"/>
          <w:szCs w:val="20"/>
        </w:rPr>
        <w:t>2、本合同正本一式</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份，甲方、乙方双方分别执</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份，</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备案</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份。</w:t>
      </w:r>
    </w:p>
    <w:p w14:paraId="79608249">
      <w:pPr>
        <w:widowControl/>
        <w:tabs>
          <w:tab w:val="left" w:pos="8391"/>
        </w:tabs>
        <w:autoSpaceDE w:val="0"/>
        <w:autoSpaceDN w:val="0"/>
        <w:snapToGrid w:val="0"/>
        <w:spacing w:line="360" w:lineRule="auto"/>
        <w:ind w:right="-69" w:firstLine="400" w:firstLineChars="200"/>
        <w:textAlignment w:val="bottom"/>
        <w:rPr>
          <w:rFonts w:hint="eastAsia" w:ascii="仿宋" w:hAnsi="仿宋" w:eastAsia="仿宋" w:cs="仿宋"/>
          <w:kern w:val="0"/>
          <w:sz w:val="20"/>
          <w:szCs w:val="20"/>
        </w:rPr>
      </w:pPr>
      <w:r>
        <w:rPr>
          <w:rFonts w:hint="eastAsia" w:ascii="仿宋" w:hAnsi="仿宋" w:eastAsia="仿宋" w:cs="仿宋"/>
          <w:kern w:val="0"/>
          <w:sz w:val="20"/>
          <w:szCs w:val="20"/>
        </w:rPr>
        <w:t>3、合同经甲乙双方盖章、签字后生效，合同签订地点为</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w:t>
      </w:r>
    </w:p>
    <w:p w14:paraId="394EF15E">
      <w:pPr>
        <w:widowControl/>
        <w:tabs>
          <w:tab w:val="left" w:pos="8391"/>
        </w:tabs>
        <w:autoSpaceDE w:val="0"/>
        <w:autoSpaceDN w:val="0"/>
        <w:snapToGrid w:val="0"/>
        <w:spacing w:line="360" w:lineRule="auto"/>
        <w:ind w:right="-69" w:firstLine="400" w:firstLineChars="200"/>
        <w:textAlignment w:val="bottom"/>
        <w:rPr>
          <w:rFonts w:ascii="仿宋" w:hAnsi="仿宋" w:eastAsia="仿宋"/>
          <w:color w:val="000000"/>
          <w:kern w:val="0"/>
          <w:sz w:val="20"/>
          <w:szCs w:val="20"/>
        </w:rPr>
      </w:pPr>
      <w:r>
        <w:rPr>
          <w:rFonts w:hint="eastAsia" w:ascii="仿宋" w:hAnsi="仿宋" w:eastAsia="仿宋" w:cs="仿宋"/>
          <w:kern w:val="0"/>
          <w:sz w:val="20"/>
          <w:szCs w:val="20"/>
        </w:rPr>
        <w:t>4、生效时间：</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年</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月</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日</w:t>
      </w:r>
    </w:p>
    <w:p w14:paraId="77B31C1F">
      <w:pPr>
        <w:widowControl/>
        <w:tabs>
          <w:tab w:val="left" w:pos="8391"/>
        </w:tabs>
        <w:autoSpaceDE w:val="0"/>
        <w:autoSpaceDN w:val="0"/>
        <w:snapToGrid w:val="0"/>
        <w:spacing w:line="360" w:lineRule="auto"/>
        <w:ind w:right="-69" w:firstLine="700" w:firstLineChars="350"/>
        <w:textAlignment w:val="bottom"/>
        <w:rPr>
          <w:rFonts w:ascii="仿宋" w:hAnsi="仿宋" w:eastAsia="仿宋"/>
          <w:color w:val="000000"/>
          <w:kern w:val="0"/>
          <w:sz w:val="20"/>
          <w:szCs w:val="20"/>
        </w:rPr>
      </w:pPr>
    </w:p>
    <w:tbl>
      <w:tblPr>
        <w:tblStyle w:val="2"/>
        <w:tblW w:w="0" w:type="auto"/>
        <w:jc w:val="center"/>
        <w:tblLayout w:type="fixed"/>
        <w:tblCellMar>
          <w:top w:w="0" w:type="dxa"/>
          <w:left w:w="108" w:type="dxa"/>
          <w:bottom w:w="0" w:type="dxa"/>
          <w:right w:w="108" w:type="dxa"/>
        </w:tblCellMar>
      </w:tblPr>
      <w:tblGrid>
        <w:gridCol w:w="4643"/>
        <w:gridCol w:w="4643"/>
      </w:tblGrid>
      <w:tr w14:paraId="7DB94C3A">
        <w:tblPrEx>
          <w:tblCellMar>
            <w:top w:w="0" w:type="dxa"/>
            <w:left w:w="108" w:type="dxa"/>
            <w:bottom w:w="0" w:type="dxa"/>
            <w:right w:w="108" w:type="dxa"/>
          </w:tblCellMar>
        </w:tblPrEx>
        <w:trPr>
          <w:jc w:val="center"/>
        </w:trPr>
        <w:tc>
          <w:tcPr>
            <w:tcW w:w="4643" w:type="dxa"/>
            <w:noWrap w:val="0"/>
            <w:vAlign w:val="top"/>
          </w:tcPr>
          <w:p w14:paraId="3580B0F9">
            <w:pPr>
              <w:widowControl/>
              <w:autoSpaceDE w:val="0"/>
              <w:autoSpaceDN w:val="0"/>
              <w:snapToGrid w:val="0"/>
              <w:spacing w:line="360" w:lineRule="auto"/>
              <w:ind w:right="-154" w:firstLine="400" w:firstLineChars="200"/>
              <w:textAlignment w:val="bottom"/>
              <w:rPr>
                <w:rFonts w:ascii="仿宋" w:hAnsi="仿宋" w:eastAsia="仿宋"/>
                <w:color w:val="000000"/>
                <w:kern w:val="0"/>
                <w:sz w:val="20"/>
                <w:szCs w:val="20"/>
              </w:rPr>
            </w:pPr>
            <w:r>
              <w:rPr>
                <w:rFonts w:hint="eastAsia" w:ascii="仿宋" w:hAnsi="仿宋" w:eastAsia="仿宋"/>
                <w:color w:val="000000"/>
                <w:kern w:val="0"/>
                <w:sz w:val="20"/>
                <w:szCs w:val="20"/>
              </w:rPr>
              <w:t>甲方名称</w:t>
            </w:r>
            <w:r>
              <w:rPr>
                <w:rFonts w:hint="eastAsia" w:ascii="仿宋" w:hAnsi="仿宋" w:eastAsia="仿宋"/>
                <w:color w:val="000000"/>
                <w:spacing w:val="-20"/>
                <w:kern w:val="0"/>
                <w:sz w:val="20"/>
                <w:szCs w:val="20"/>
              </w:rPr>
              <w:t>（盖章）</w:t>
            </w:r>
            <w:r>
              <w:rPr>
                <w:rFonts w:hint="eastAsia" w:ascii="仿宋" w:hAnsi="仿宋" w:eastAsia="仿宋"/>
                <w:color w:val="000000"/>
                <w:kern w:val="0"/>
                <w:sz w:val="20"/>
                <w:szCs w:val="20"/>
              </w:rPr>
              <w:t>:</w:t>
            </w:r>
          </w:p>
          <w:p w14:paraId="515B5C77">
            <w:pPr>
              <w:widowControl/>
              <w:autoSpaceDE w:val="0"/>
              <w:autoSpaceDN w:val="0"/>
              <w:snapToGrid w:val="0"/>
              <w:spacing w:line="360" w:lineRule="auto"/>
              <w:ind w:right="-154" w:firstLine="400" w:firstLineChars="200"/>
              <w:textAlignment w:val="bottom"/>
              <w:rPr>
                <w:rFonts w:ascii="仿宋" w:hAnsi="仿宋" w:eastAsia="仿宋"/>
                <w:color w:val="000000"/>
                <w:kern w:val="0"/>
                <w:sz w:val="20"/>
                <w:szCs w:val="20"/>
              </w:rPr>
            </w:pPr>
            <w:r>
              <w:rPr>
                <w:rFonts w:hint="eastAsia" w:ascii="仿宋" w:hAnsi="仿宋" w:eastAsia="仿宋"/>
                <w:color w:val="000000"/>
                <w:kern w:val="0"/>
                <w:sz w:val="20"/>
                <w:szCs w:val="20"/>
              </w:rPr>
              <w:t>地址：</w:t>
            </w:r>
          </w:p>
          <w:p w14:paraId="4C3F06C4">
            <w:pPr>
              <w:widowControl/>
              <w:autoSpaceDE w:val="0"/>
              <w:autoSpaceDN w:val="0"/>
              <w:snapToGrid w:val="0"/>
              <w:spacing w:line="360" w:lineRule="auto"/>
              <w:ind w:right="-154" w:firstLine="400" w:firstLineChars="200"/>
              <w:textAlignment w:val="bottom"/>
              <w:rPr>
                <w:rFonts w:ascii="仿宋" w:hAnsi="仿宋" w:eastAsia="仿宋"/>
                <w:color w:val="000000"/>
                <w:kern w:val="0"/>
                <w:sz w:val="20"/>
                <w:szCs w:val="20"/>
              </w:rPr>
            </w:pPr>
            <w:r>
              <w:rPr>
                <w:rFonts w:hint="eastAsia" w:ascii="仿宋" w:hAnsi="仿宋" w:eastAsia="仿宋"/>
                <w:color w:val="000000"/>
                <w:kern w:val="0"/>
                <w:sz w:val="20"/>
                <w:szCs w:val="20"/>
              </w:rPr>
              <w:t>代表人（签字）：</w:t>
            </w:r>
          </w:p>
          <w:p w14:paraId="61A14FB9">
            <w:pPr>
              <w:widowControl/>
              <w:autoSpaceDE w:val="0"/>
              <w:autoSpaceDN w:val="0"/>
              <w:snapToGrid w:val="0"/>
              <w:spacing w:line="360" w:lineRule="auto"/>
              <w:ind w:right="-154" w:firstLine="400" w:firstLineChars="200"/>
              <w:textAlignment w:val="bottom"/>
              <w:rPr>
                <w:rFonts w:ascii="仿宋" w:hAnsi="仿宋" w:eastAsia="仿宋"/>
                <w:color w:val="000000"/>
                <w:kern w:val="0"/>
                <w:sz w:val="20"/>
                <w:szCs w:val="20"/>
              </w:rPr>
            </w:pPr>
            <w:r>
              <w:rPr>
                <w:rFonts w:hint="eastAsia" w:ascii="仿宋" w:hAnsi="仿宋" w:eastAsia="仿宋"/>
                <w:color w:val="000000"/>
                <w:kern w:val="0"/>
                <w:sz w:val="20"/>
                <w:szCs w:val="20"/>
              </w:rPr>
              <w:t>电话：</w:t>
            </w:r>
          </w:p>
          <w:p w14:paraId="685DBB53">
            <w:pPr>
              <w:widowControl/>
              <w:autoSpaceDE w:val="0"/>
              <w:autoSpaceDN w:val="0"/>
              <w:snapToGrid w:val="0"/>
              <w:spacing w:line="360" w:lineRule="auto"/>
              <w:ind w:right="-154" w:firstLine="400" w:firstLineChars="200"/>
              <w:textAlignment w:val="bottom"/>
              <w:rPr>
                <w:rFonts w:ascii="仿宋" w:hAnsi="仿宋" w:eastAsia="仿宋"/>
                <w:color w:val="000000"/>
                <w:kern w:val="0"/>
                <w:sz w:val="20"/>
                <w:szCs w:val="20"/>
              </w:rPr>
            </w:pPr>
            <w:r>
              <w:rPr>
                <w:rFonts w:hint="eastAsia" w:ascii="仿宋" w:hAnsi="仿宋" w:eastAsia="仿宋"/>
                <w:color w:val="000000"/>
                <w:kern w:val="0"/>
                <w:sz w:val="20"/>
                <w:szCs w:val="20"/>
              </w:rPr>
              <w:t>开户银行：</w:t>
            </w:r>
          </w:p>
          <w:p w14:paraId="2307F02F">
            <w:pPr>
              <w:widowControl/>
              <w:autoSpaceDE w:val="0"/>
              <w:autoSpaceDN w:val="0"/>
              <w:snapToGrid w:val="0"/>
              <w:spacing w:line="360" w:lineRule="auto"/>
              <w:ind w:right="-154" w:firstLine="400" w:firstLineChars="200"/>
              <w:textAlignment w:val="bottom"/>
              <w:rPr>
                <w:rFonts w:ascii="仿宋" w:hAnsi="仿宋" w:eastAsia="仿宋"/>
                <w:color w:val="000000"/>
                <w:kern w:val="0"/>
                <w:sz w:val="20"/>
                <w:szCs w:val="20"/>
              </w:rPr>
            </w:pPr>
            <w:r>
              <w:rPr>
                <w:rFonts w:hint="eastAsia" w:ascii="仿宋" w:hAnsi="仿宋" w:eastAsia="仿宋"/>
                <w:color w:val="000000"/>
                <w:kern w:val="0"/>
                <w:sz w:val="20"/>
                <w:szCs w:val="20"/>
              </w:rPr>
              <w:t>帐号：</w:t>
            </w:r>
          </w:p>
        </w:tc>
        <w:tc>
          <w:tcPr>
            <w:tcW w:w="4643" w:type="dxa"/>
            <w:noWrap w:val="0"/>
            <w:vAlign w:val="top"/>
          </w:tcPr>
          <w:p w14:paraId="55BF5CF5">
            <w:pPr>
              <w:widowControl/>
              <w:autoSpaceDE w:val="0"/>
              <w:autoSpaceDN w:val="0"/>
              <w:snapToGrid w:val="0"/>
              <w:spacing w:line="360" w:lineRule="auto"/>
              <w:ind w:right="-154"/>
              <w:textAlignment w:val="bottom"/>
              <w:rPr>
                <w:rFonts w:ascii="仿宋" w:hAnsi="仿宋" w:eastAsia="仿宋"/>
                <w:color w:val="000000"/>
                <w:kern w:val="0"/>
                <w:sz w:val="20"/>
                <w:szCs w:val="20"/>
              </w:rPr>
            </w:pPr>
            <w:r>
              <w:rPr>
                <w:rFonts w:hint="eastAsia" w:ascii="仿宋" w:hAnsi="仿宋" w:eastAsia="仿宋"/>
                <w:color w:val="000000"/>
                <w:kern w:val="0"/>
                <w:sz w:val="20"/>
                <w:szCs w:val="20"/>
              </w:rPr>
              <w:t>乙方名称</w:t>
            </w:r>
            <w:r>
              <w:rPr>
                <w:rFonts w:hint="eastAsia" w:ascii="仿宋" w:hAnsi="仿宋" w:eastAsia="仿宋"/>
                <w:color w:val="000000"/>
                <w:spacing w:val="-20"/>
                <w:kern w:val="0"/>
                <w:sz w:val="20"/>
                <w:szCs w:val="20"/>
              </w:rPr>
              <w:t>（盖章）</w:t>
            </w:r>
            <w:r>
              <w:rPr>
                <w:rFonts w:hint="eastAsia" w:ascii="仿宋" w:hAnsi="仿宋" w:eastAsia="仿宋"/>
                <w:color w:val="000000"/>
                <w:kern w:val="0"/>
                <w:sz w:val="20"/>
                <w:szCs w:val="20"/>
              </w:rPr>
              <w:t>:</w:t>
            </w:r>
          </w:p>
          <w:p w14:paraId="1EBEF6EB">
            <w:pPr>
              <w:widowControl/>
              <w:autoSpaceDE w:val="0"/>
              <w:autoSpaceDN w:val="0"/>
              <w:snapToGrid w:val="0"/>
              <w:spacing w:line="360" w:lineRule="auto"/>
              <w:ind w:right="-154"/>
              <w:textAlignment w:val="bottom"/>
              <w:rPr>
                <w:rFonts w:ascii="仿宋" w:hAnsi="仿宋" w:eastAsia="仿宋"/>
                <w:color w:val="000000"/>
                <w:kern w:val="0"/>
                <w:sz w:val="20"/>
                <w:szCs w:val="20"/>
              </w:rPr>
            </w:pPr>
            <w:r>
              <w:rPr>
                <w:rFonts w:hint="eastAsia" w:ascii="仿宋" w:hAnsi="仿宋" w:eastAsia="仿宋"/>
                <w:color w:val="000000"/>
                <w:kern w:val="0"/>
                <w:sz w:val="20"/>
                <w:szCs w:val="20"/>
              </w:rPr>
              <w:t>地址：</w:t>
            </w:r>
          </w:p>
          <w:p w14:paraId="1CFD369C">
            <w:pPr>
              <w:widowControl/>
              <w:autoSpaceDE w:val="0"/>
              <w:autoSpaceDN w:val="0"/>
              <w:snapToGrid w:val="0"/>
              <w:spacing w:line="360" w:lineRule="auto"/>
              <w:ind w:right="-154"/>
              <w:textAlignment w:val="bottom"/>
              <w:rPr>
                <w:rFonts w:ascii="仿宋" w:hAnsi="仿宋" w:eastAsia="仿宋"/>
                <w:color w:val="000000"/>
                <w:kern w:val="0"/>
                <w:sz w:val="20"/>
                <w:szCs w:val="20"/>
              </w:rPr>
            </w:pPr>
            <w:r>
              <w:rPr>
                <w:rFonts w:hint="eastAsia" w:ascii="仿宋" w:hAnsi="仿宋" w:eastAsia="仿宋"/>
                <w:color w:val="000000"/>
                <w:kern w:val="0"/>
                <w:sz w:val="20"/>
                <w:szCs w:val="20"/>
              </w:rPr>
              <w:t>代表人（签字）：</w:t>
            </w:r>
          </w:p>
          <w:p w14:paraId="0F460CA0">
            <w:pPr>
              <w:widowControl/>
              <w:autoSpaceDE w:val="0"/>
              <w:autoSpaceDN w:val="0"/>
              <w:snapToGrid w:val="0"/>
              <w:spacing w:line="360" w:lineRule="auto"/>
              <w:ind w:right="-154"/>
              <w:textAlignment w:val="bottom"/>
              <w:rPr>
                <w:rFonts w:ascii="仿宋" w:hAnsi="仿宋" w:eastAsia="仿宋"/>
                <w:color w:val="000000"/>
                <w:kern w:val="0"/>
                <w:sz w:val="20"/>
                <w:szCs w:val="20"/>
              </w:rPr>
            </w:pPr>
            <w:r>
              <w:rPr>
                <w:rFonts w:hint="eastAsia" w:ascii="仿宋" w:hAnsi="仿宋" w:eastAsia="仿宋"/>
                <w:color w:val="000000"/>
                <w:kern w:val="0"/>
                <w:sz w:val="20"/>
                <w:szCs w:val="20"/>
              </w:rPr>
              <w:t>电话：</w:t>
            </w:r>
          </w:p>
          <w:p w14:paraId="5F35AEFD">
            <w:pPr>
              <w:widowControl/>
              <w:autoSpaceDE w:val="0"/>
              <w:autoSpaceDN w:val="0"/>
              <w:snapToGrid w:val="0"/>
              <w:spacing w:line="360" w:lineRule="auto"/>
              <w:ind w:right="-154"/>
              <w:textAlignment w:val="bottom"/>
              <w:rPr>
                <w:rFonts w:ascii="仿宋" w:hAnsi="仿宋" w:eastAsia="仿宋"/>
                <w:color w:val="000000"/>
                <w:kern w:val="0"/>
                <w:sz w:val="20"/>
                <w:szCs w:val="20"/>
              </w:rPr>
            </w:pPr>
            <w:r>
              <w:rPr>
                <w:rFonts w:hint="eastAsia" w:ascii="仿宋" w:hAnsi="仿宋" w:eastAsia="仿宋"/>
                <w:color w:val="000000"/>
                <w:kern w:val="0"/>
                <w:sz w:val="20"/>
                <w:szCs w:val="20"/>
              </w:rPr>
              <w:t>开户银行：</w:t>
            </w:r>
          </w:p>
          <w:p w14:paraId="6D5E0BA5">
            <w:pPr>
              <w:widowControl/>
              <w:autoSpaceDE w:val="0"/>
              <w:autoSpaceDN w:val="0"/>
              <w:snapToGrid w:val="0"/>
              <w:spacing w:line="360" w:lineRule="auto"/>
              <w:ind w:right="-154"/>
              <w:textAlignment w:val="bottom"/>
              <w:rPr>
                <w:rFonts w:ascii="仿宋" w:hAnsi="仿宋" w:eastAsia="仿宋"/>
                <w:color w:val="000000"/>
                <w:kern w:val="0"/>
                <w:sz w:val="20"/>
                <w:szCs w:val="20"/>
              </w:rPr>
            </w:pPr>
            <w:r>
              <w:rPr>
                <w:rFonts w:hint="eastAsia" w:ascii="仿宋" w:hAnsi="仿宋" w:eastAsia="仿宋"/>
                <w:color w:val="000000"/>
                <w:kern w:val="0"/>
                <w:sz w:val="20"/>
                <w:szCs w:val="20"/>
              </w:rPr>
              <w:t>帐号：</w:t>
            </w:r>
          </w:p>
        </w:tc>
      </w:tr>
    </w:tbl>
    <w:p w14:paraId="5AE30EE2">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b/>
          <w:color w:val="auto"/>
          <w:sz w:val="28"/>
          <w:szCs w:val="28"/>
          <w:highlight w:val="none"/>
        </w:rPr>
      </w:pPr>
    </w:p>
    <w:p w14:paraId="7DCEC2C0">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E132FC"/>
    <w:rsid w:val="2EE13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2025-10-22T11:39:00Z</dcterms:created>
  <dc:creator>Ywxxxxxx</dc:creator>
  <cp:lastModifiedBy>Ywxxxxxx</cp:lastModifiedBy>
  <dcterms:modified xsi:type="dcterms:W3CDTF">2025-10-22T11:40:01Z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C08077D423EA4C059DD8E2E1486387D6_11</vt:lpwstr>
  </property>
  <property fmtid="{D5CDD505-2E9C-101B-9397-08002B2CF9AE}" pid="4" name="KSOTemplateDocerSaveRecord">
    <vt:lpwstr>eyJoZGlkIjoiZDk5NGM4MDE4ODI5MjFmMjQzNzNkOTJjOWFiODdmM2EiLCJ1c2VySWQiOiIzNjg2NDU2NDEifQ==</vt:lpwstr>
  </property>
</Properties>
</file>