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B7C3F1">
      <w:pPr>
        <w:widowControl/>
        <w:numPr>
          <w:numId w:val="0"/>
        </w:numPr>
        <w:spacing w:after="240" w:afterLines="100" w:line="400" w:lineRule="atLeast"/>
        <w:jc w:val="center"/>
        <w:rPr>
          <w:rFonts w:hint="eastAsia" w:ascii="宋体" w:hAnsi="宋体" w:eastAsia="宋体" w:cs="宋体"/>
          <w:color w:val="000000"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color w:val="000000"/>
          <w:sz w:val="44"/>
          <w:szCs w:val="44"/>
          <w:highlight w:val="none"/>
        </w:rPr>
        <w:t>政府采购合同格式</w:t>
      </w:r>
    </w:p>
    <w:p w14:paraId="363D52BF">
      <w:pPr>
        <w:spacing w:line="520" w:lineRule="exact"/>
        <w:ind w:firstLine="480" w:firstLineChars="200"/>
        <w:jc w:val="center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zh-CN"/>
        </w:rPr>
        <w:t>（此合同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仅供参考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zh-CN"/>
        </w:rPr>
        <w:t>，最终签订的合同以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b w:val="0"/>
          <w:bCs/>
          <w:color w:val="000000"/>
          <w:sz w:val="24"/>
          <w:szCs w:val="24"/>
          <w:lang w:val="zh-CN"/>
        </w:rPr>
        <w:t>人确定的合同内容为准。）</w:t>
      </w:r>
    </w:p>
    <w:p w14:paraId="78CFA8FC">
      <w:pPr>
        <w:spacing w:before="120" w:beforeLines="50" w:line="520" w:lineRule="exact"/>
        <w:jc w:val="center"/>
        <w:rPr>
          <w:rFonts w:hint="eastAsia" w:ascii="宋体" w:hAnsi="宋体" w:eastAsia="宋体" w:cs="宋体"/>
          <w:color w:val="000000"/>
          <w:sz w:val="44"/>
          <w:szCs w:val="44"/>
          <w:highlight w:val="none"/>
        </w:rPr>
      </w:pPr>
    </w:p>
    <w:p w14:paraId="09E43825">
      <w:pPr>
        <w:jc w:val="center"/>
        <w:rPr>
          <w:rFonts w:hint="eastAsia" w:ascii="宋体" w:hAnsi="宋体" w:eastAsia="宋体" w:cs="宋体"/>
          <w:b/>
          <w:bCs/>
          <w:color w:val="000000"/>
          <w:sz w:val="52"/>
          <w:szCs w:val="52"/>
          <w:highlight w:val="none"/>
        </w:rPr>
      </w:pPr>
    </w:p>
    <w:p w14:paraId="78DD7E6C">
      <w:pPr>
        <w:jc w:val="center"/>
        <w:rPr>
          <w:rFonts w:hint="eastAsia" w:ascii="宋体" w:hAnsi="宋体" w:eastAsia="宋体" w:cs="宋体"/>
          <w:b/>
          <w:bCs/>
          <w:color w:val="000000"/>
          <w:sz w:val="60"/>
          <w:szCs w:val="60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60"/>
          <w:szCs w:val="60"/>
          <w:highlight w:val="none"/>
        </w:rPr>
        <w:t>采购合同</w:t>
      </w:r>
    </w:p>
    <w:p w14:paraId="00446D84">
      <w:pPr>
        <w:rPr>
          <w:rFonts w:hint="eastAsia" w:ascii="宋体" w:hAnsi="宋体" w:eastAsia="宋体" w:cs="宋体"/>
          <w:color w:val="000000"/>
          <w:highlight w:val="none"/>
        </w:rPr>
      </w:pPr>
    </w:p>
    <w:p w14:paraId="6989C516">
      <w:pPr>
        <w:rPr>
          <w:rFonts w:hint="eastAsia" w:ascii="宋体" w:hAnsi="宋体" w:eastAsia="宋体" w:cs="宋体"/>
          <w:color w:val="000000"/>
          <w:highlight w:val="none"/>
        </w:rPr>
      </w:pPr>
    </w:p>
    <w:p w14:paraId="4A883908">
      <w:pPr>
        <w:spacing w:line="480" w:lineRule="auto"/>
        <w:ind w:firstLine="780" w:firstLineChars="150"/>
        <w:rPr>
          <w:rFonts w:hint="eastAsia" w:ascii="宋体" w:hAnsi="宋体" w:eastAsia="宋体" w:cs="宋体"/>
          <w:color w:val="000000"/>
          <w:spacing w:val="110"/>
          <w:kern w:val="0"/>
          <w:sz w:val="30"/>
          <w:szCs w:val="30"/>
          <w:highlight w:val="none"/>
        </w:rPr>
      </w:pPr>
    </w:p>
    <w:p w14:paraId="355E47D2">
      <w:pPr>
        <w:spacing w:line="480" w:lineRule="auto"/>
        <w:ind w:firstLine="780" w:firstLineChars="150"/>
        <w:rPr>
          <w:rFonts w:hint="eastAsia" w:ascii="宋体" w:hAnsi="宋体" w:eastAsia="宋体" w:cs="宋体"/>
          <w:color w:val="000000"/>
          <w:spacing w:val="110"/>
          <w:kern w:val="0"/>
          <w:sz w:val="30"/>
          <w:szCs w:val="30"/>
          <w:highlight w:val="none"/>
        </w:rPr>
      </w:pPr>
    </w:p>
    <w:p w14:paraId="670B8BCA">
      <w:pPr>
        <w:spacing w:line="480" w:lineRule="auto"/>
        <w:ind w:firstLine="780" w:firstLineChars="150"/>
        <w:rPr>
          <w:rFonts w:hint="eastAsia" w:ascii="宋体" w:hAnsi="宋体" w:eastAsia="宋体" w:cs="宋体"/>
          <w:color w:val="000000"/>
          <w:spacing w:val="110"/>
          <w:kern w:val="0"/>
          <w:sz w:val="30"/>
          <w:szCs w:val="30"/>
          <w:highlight w:val="none"/>
        </w:rPr>
      </w:pPr>
    </w:p>
    <w:p w14:paraId="610CBB86">
      <w:pPr>
        <w:spacing w:line="480" w:lineRule="auto"/>
        <w:ind w:firstLine="780" w:firstLineChars="150"/>
        <w:rPr>
          <w:rFonts w:hint="eastAsia" w:ascii="宋体" w:hAnsi="宋体" w:eastAsia="宋体" w:cs="宋体"/>
          <w:color w:val="000000"/>
          <w:spacing w:val="110"/>
          <w:kern w:val="0"/>
          <w:sz w:val="30"/>
          <w:szCs w:val="30"/>
          <w:highlight w:val="none"/>
        </w:rPr>
      </w:pPr>
    </w:p>
    <w:p w14:paraId="6F8842DE">
      <w:pPr>
        <w:spacing w:line="480" w:lineRule="auto"/>
        <w:rPr>
          <w:rFonts w:hint="eastAsia" w:ascii="宋体" w:hAnsi="宋体" w:eastAsia="宋体" w:cs="宋体"/>
          <w:color w:val="000000"/>
          <w:spacing w:val="110"/>
          <w:kern w:val="0"/>
          <w:sz w:val="30"/>
          <w:szCs w:val="30"/>
          <w:highlight w:val="none"/>
        </w:rPr>
      </w:pPr>
    </w:p>
    <w:p w14:paraId="1EA0B432">
      <w:pPr>
        <w:spacing w:line="800" w:lineRule="exact"/>
        <w:ind w:left="3000" w:hanging="3000" w:hangingChars="1000"/>
        <w:jc w:val="left"/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highlight w:val="none"/>
        </w:rPr>
        <w:t xml:space="preserve">    </w:t>
      </w:r>
      <w:r>
        <w:rPr>
          <w:rFonts w:hint="eastAsia" w:ascii="宋体" w:hAnsi="宋体" w:eastAsia="宋体" w:cs="宋体"/>
          <w:color w:val="000000"/>
          <w:sz w:val="30"/>
          <w:szCs w:val="30"/>
          <w:highlight w:val="none"/>
          <w:lang w:val="en-US" w:eastAsia="zh-CN"/>
        </w:rPr>
        <w:t xml:space="preserve"> 项  目  名  称：</w:t>
      </w:r>
      <w:r>
        <w:rPr>
          <w:rFonts w:hint="eastAsia" w:ascii="宋体" w:hAnsi="宋体" w:eastAsia="宋体" w:cs="宋体"/>
          <w:color w:val="000000"/>
          <w:sz w:val="30"/>
          <w:szCs w:val="30"/>
          <w:highlight w:val="none"/>
          <w:u w:val="single"/>
          <w:lang w:val="en-US" w:eastAsia="zh-CN"/>
        </w:rPr>
        <w:t xml:space="preserve">                                   </w:t>
      </w:r>
    </w:p>
    <w:p w14:paraId="29546360">
      <w:pPr>
        <w:spacing w:line="800" w:lineRule="exact"/>
        <w:jc w:val="left"/>
        <w:rPr>
          <w:rFonts w:hint="eastAsia" w:ascii="宋体" w:hAnsi="宋体" w:eastAsia="宋体" w:cs="宋体"/>
          <w:color w:val="000000"/>
          <w:sz w:val="30"/>
          <w:szCs w:val="30"/>
          <w:highlight w:val="none"/>
          <w:u w:val="single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highlight w:val="none"/>
        </w:rPr>
        <w:t xml:space="preserve">     </w:t>
      </w:r>
      <w:r>
        <w:rPr>
          <w:rFonts w:hint="eastAsia" w:ascii="宋体" w:hAnsi="宋体" w:eastAsia="宋体" w:cs="宋体"/>
          <w:color w:val="000000"/>
          <w:sz w:val="30"/>
          <w:szCs w:val="30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color w:val="000000"/>
          <w:sz w:val="30"/>
          <w:szCs w:val="30"/>
          <w:highlight w:val="none"/>
        </w:rPr>
        <w:t>方（甲方）:</w:t>
      </w:r>
      <w:r>
        <w:rPr>
          <w:rFonts w:hint="eastAsia" w:ascii="宋体" w:hAnsi="宋体" w:eastAsia="宋体" w:cs="宋体"/>
          <w:color w:val="000000"/>
          <w:sz w:val="30"/>
          <w:szCs w:val="30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000000"/>
          <w:sz w:val="30"/>
          <w:szCs w:val="30"/>
          <w:highlight w:val="none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color w:val="000000"/>
          <w:sz w:val="30"/>
          <w:szCs w:val="30"/>
          <w:highlight w:val="none"/>
          <w:u w:val="single"/>
        </w:rPr>
        <w:t xml:space="preserve">       </w:t>
      </w:r>
    </w:p>
    <w:p w14:paraId="6EEFD645">
      <w:pPr>
        <w:spacing w:line="800" w:lineRule="exact"/>
        <w:jc w:val="left"/>
        <w:rPr>
          <w:rFonts w:hint="eastAsia" w:ascii="宋体" w:hAnsi="宋体" w:eastAsia="宋体" w:cs="宋体"/>
          <w:color w:val="000000"/>
          <w:sz w:val="30"/>
          <w:szCs w:val="30"/>
          <w:highlight w:val="none"/>
          <w:u w:val="single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highlight w:val="none"/>
        </w:rPr>
        <w:t xml:space="preserve">    </w:t>
      </w:r>
      <w:r>
        <w:rPr>
          <w:rFonts w:hint="eastAsia" w:ascii="宋体" w:hAnsi="宋体" w:eastAsia="宋体" w:cs="宋体"/>
          <w:color w:val="000000"/>
          <w:sz w:val="30"/>
          <w:szCs w:val="30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30"/>
          <w:szCs w:val="30"/>
          <w:highlight w:val="none"/>
          <w:lang w:eastAsia="zh-CN"/>
        </w:rPr>
        <w:t>供货</w:t>
      </w:r>
      <w:r>
        <w:rPr>
          <w:rFonts w:hint="eastAsia" w:ascii="宋体" w:hAnsi="宋体" w:eastAsia="宋体" w:cs="宋体"/>
          <w:color w:val="000000"/>
          <w:sz w:val="30"/>
          <w:szCs w:val="30"/>
          <w:highlight w:val="none"/>
        </w:rPr>
        <w:t>方（乙方）:</w:t>
      </w:r>
      <w:r>
        <w:rPr>
          <w:rFonts w:hint="eastAsia" w:ascii="宋体" w:hAnsi="宋体" w:eastAsia="宋体" w:cs="宋体"/>
          <w:color w:val="000000"/>
          <w:sz w:val="30"/>
          <w:szCs w:val="30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000000"/>
          <w:sz w:val="30"/>
          <w:szCs w:val="30"/>
          <w:highlight w:val="none"/>
          <w:u w:val="single"/>
          <w:lang w:val="en-US" w:eastAsia="zh-CN"/>
        </w:rPr>
        <w:t xml:space="preserve">                                  </w:t>
      </w:r>
    </w:p>
    <w:p w14:paraId="54CE2664">
      <w:pPr>
        <w:spacing w:line="800" w:lineRule="exact"/>
        <w:jc w:val="left"/>
        <w:rPr>
          <w:rFonts w:hint="eastAsia" w:ascii="宋体" w:hAnsi="宋体" w:eastAsia="宋体" w:cs="宋体"/>
          <w:color w:val="000000"/>
          <w:sz w:val="30"/>
          <w:szCs w:val="30"/>
          <w:highlight w:val="none"/>
          <w:u w:val="single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highlight w:val="none"/>
        </w:rPr>
        <w:t xml:space="preserve">     签  订  地  点:</w:t>
      </w:r>
      <w:r>
        <w:rPr>
          <w:rFonts w:hint="eastAsia" w:ascii="宋体" w:hAnsi="宋体" w:eastAsia="宋体" w:cs="宋体"/>
          <w:color w:val="000000"/>
          <w:sz w:val="30"/>
          <w:szCs w:val="30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color w:val="000000"/>
          <w:sz w:val="30"/>
          <w:szCs w:val="30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000000"/>
          <w:sz w:val="30"/>
          <w:szCs w:val="30"/>
          <w:highlight w:val="none"/>
          <w:u w:val="single"/>
        </w:rPr>
        <w:t xml:space="preserve">              </w:t>
      </w:r>
    </w:p>
    <w:p w14:paraId="3414F2F9">
      <w:pPr>
        <w:spacing w:line="800" w:lineRule="exact"/>
        <w:jc w:val="left"/>
        <w:rPr>
          <w:rFonts w:hint="eastAsia" w:ascii="宋体" w:hAnsi="宋体" w:eastAsia="宋体" w:cs="宋体"/>
          <w:b/>
          <w:bCs/>
          <w:color w:val="000000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30"/>
          <w:szCs w:val="30"/>
          <w:highlight w:val="none"/>
        </w:rPr>
        <w:t xml:space="preserve">     签  订  日  期:</w:t>
      </w:r>
      <w:r>
        <w:rPr>
          <w:rFonts w:hint="eastAsia" w:ascii="宋体" w:hAnsi="宋体" w:eastAsia="宋体" w:cs="宋体"/>
          <w:color w:val="000000"/>
          <w:sz w:val="30"/>
          <w:szCs w:val="30"/>
          <w:highlight w:val="none"/>
          <w:u w:val="single"/>
        </w:rPr>
        <w:t xml:space="preserve">                                    </w:t>
      </w:r>
    </w:p>
    <w:p w14:paraId="3AA7236D"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40"/>
          <w:szCs w:val="40"/>
          <w:highlight w:val="none"/>
          <w:lang w:val="en-US" w:eastAsia="zh-CN"/>
        </w:rPr>
        <w:t>采购合同</w:t>
      </w:r>
      <w:r>
        <w:rPr>
          <w:rFonts w:hint="eastAsia" w:ascii="宋体" w:hAnsi="宋体" w:eastAsia="宋体" w:cs="宋体"/>
          <w:b/>
          <w:bCs/>
          <w:color w:val="000000"/>
          <w:sz w:val="36"/>
          <w:szCs w:val="36"/>
          <w:highlight w:val="none"/>
          <w:lang w:val="en-US" w:eastAsia="zh-CN"/>
        </w:rPr>
        <w:t xml:space="preserve"> </w:t>
      </w:r>
    </w:p>
    <w:p w14:paraId="3B1C14E6">
      <w:pPr>
        <w:tabs>
          <w:tab w:val="left" w:pos="735"/>
        </w:tabs>
        <w:autoSpaceDE w:val="0"/>
        <w:autoSpaceDN w:val="0"/>
        <w:adjustRightInd w:val="0"/>
        <w:snapToGrid w:val="0"/>
        <w:spacing w:line="480" w:lineRule="auto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>根据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《中华人民共和国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>政府采购法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》及《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>政府采购货物和服务招标投标管理办法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》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>经公开招标，确定乙方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>为中标供应商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，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>为了增强甲、乙双方责任感，根据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《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>中华人民共和国民法典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》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>和政府采购政策规定，经甲、乙双方充分协商，特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签订本合同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>以便共同遵守。</w:t>
      </w:r>
    </w:p>
    <w:p w14:paraId="39BE60C3">
      <w:pPr>
        <w:snapToGrid w:val="0"/>
        <w:spacing w:line="360" w:lineRule="auto"/>
        <w:ind w:firstLine="562" w:firstLineChars="200"/>
        <w:rPr>
          <w:rFonts w:hint="eastAsia" w:ascii="宋体" w:hAnsi="宋体" w:eastAsia="宋体" w:cs="宋体"/>
          <w:b/>
          <w:bCs w:val="0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000000"/>
          <w:sz w:val="28"/>
          <w:szCs w:val="28"/>
          <w:highlight w:val="none"/>
          <w:lang w:val="zh-CN"/>
        </w:rPr>
        <w:t>一、</w:t>
      </w:r>
      <w:r>
        <w:rPr>
          <w:rFonts w:hint="eastAsia" w:ascii="宋体" w:hAnsi="宋体" w:eastAsia="宋体" w:cs="宋体"/>
          <w:b/>
          <w:bCs w:val="0"/>
          <w:color w:val="000000"/>
          <w:sz w:val="28"/>
          <w:szCs w:val="28"/>
          <w:highlight w:val="none"/>
          <w:lang w:val="en-US" w:eastAsia="zh-CN"/>
        </w:rPr>
        <w:t>供货内容</w:t>
      </w:r>
      <w:r>
        <w:rPr>
          <w:rFonts w:hint="eastAsia" w:ascii="宋体" w:hAnsi="宋体" w:eastAsia="宋体" w:cs="宋体"/>
          <w:b/>
          <w:bCs w:val="0"/>
          <w:color w:val="FF0000"/>
          <w:sz w:val="24"/>
          <w:szCs w:val="24"/>
          <w:highlight w:val="none"/>
          <w:lang w:val="en-US" w:eastAsia="zh-CN"/>
        </w:rPr>
        <w:t xml:space="preserve"> </w:t>
      </w:r>
    </w:p>
    <w:tbl>
      <w:tblPr>
        <w:tblStyle w:val="3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1891"/>
        <w:gridCol w:w="903"/>
        <w:gridCol w:w="699"/>
        <w:gridCol w:w="1174"/>
        <w:gridCol w:w="854"/>
        <w:gridCol w:w="1046"/>
        <w:gridCol w:w="1295"/>
      </w:tblGrid>
      <w:tr w14:paraId="455E8D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  <w:jc w:val="center"/>
        </w:trPr>
        <w:tc>
          <w:tcPr>
            <w:tcW w:w="385" w:type="pct"/>
            <w:noWrap w:val="0"/>
            <w:vAlign w:val="center"/>
          </w:tcPr>
          <w:p w14:paraId="55034E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110" w:type="pct"/>
            <w:noWrap w:val="0"/>
            <w:vAlign w:val="center"/>
          </w:tcPr>
          <w:p w14:paraId="27E57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名称</w:t>
            </w:r>
          </w:p>
        </w:tc>
        <w:tc>
          <w:tcPr>
            <w:tcW w:w="530" w:type="pct"/>
            <w:noWrap w:val="0"/>
            <w:vAlign w:val="center"/>
          </w:tcPr>
          <w:p w14:paraId="4BE0B5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</w:t>
            </w:r>
          </w:p>
        </w:tc>
        <w:tc>
          <w:tcPr>
            <w:tcW w:w="410" w:type="pct"/>
            <w:noWrap w:val="0"/>
            <w:vAlign w:val="center"/>
          </w:tcPr>
          <w:p w14:paraId="2EC7A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89" w:type="pct"/>
            <w:noWrap w:val="0"/>
            <w:vAlign w:val="center"/>
          </w:tcPr>
          <w:p w14:paraId="1820B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501" w:type="pct"/>
            <w:noWrap w:val="0"/>
            <w:vAlign w:val="center"/>
          </w:tcPr>
          <w:p w14:paraId="423CB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</w:t>
            </w:r>
          </w:p>
          <w:p w14:paraId="30669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（元）</w:t>
            </w:r>
          </w:p>
        </w:tc>
        <w:tc>
          <w:tcPr>
            <w:tcW w:w="612" w:type="pct"/>
            <w:noWrap w:val="0"/>
            <w:vAlign w:val="center"/>
          </w:tcPr>
          <w:p w14:paraId="6EF8F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总金额（元）</w:t>
            </w:r>
          </w:p>
        </w:tc>
        <w:tc>
          <w:tcPr>
            <w:tcW w:w="760" w:type="pct"/>
            <w:noWrap w:val="0"/>
            <w:vAlign w:val="center"/>
          </w:tcPr>
          <w:p w14:paraId="40A6E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7F2BEC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385" w:type="pct"/>
            <w:noWrap w:val="0"/>
            <w:vAlign w:val="center"/>
          </w:tcPr>
          <w:p w14:paraId="5792E2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110" w:type="pct"/>
            <w:noWrap w:val="0"/>
            <w:vAlign w:val="center"/>
          </w:tcPr>
          <w:p w14:paraId="65605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530" w:type="pct"/>
            <w:noWrap w:val="0"/>
            <w:vAlign w:val="center"/>
          </w:tcPr>
          <w:p w14:paraId="67164B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10" w:type="pct"/>
            <w:noWrap w:val="0"/>
            <w:vAlign w:val="center"/>
          </w:tcPr>
          <w:p w14:paraId="32ACB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u w:val="none"/>
                <w:lang w:val="en-US" w:bidi="ar"/>
              </w:rPr>
            </w:pPr>
          </w:p>
        </w:tc>
        <w:tc>
          <w:tcPr>
            <w:tcW w:w="689" w:type="pct"/>
            <w:noWrap w:val="0"/>
            <w:vAlign w:val="center"/>
          </w:tcPr>
          <w:p w14:paraId="18BAF2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bidi="ar"/>
              </w:rPr>
            </w:pPr>
          </w:p>
        </w:tc>
        <w:tc>
          <w:tcPr>
            <w:tcW w:w="501" w:type="pct"/>
            <w:noWrap w:val="0"/>
            <w:vAlign w:val="center"/>
          </w:tcPr>
          <w:p w14:paraId="420739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12" w:type="pct"/>
            <w:noWrap w:val="0"/>
            <w:vAlign w:val="center"/>
          </w:tcPr>
          <w:p w14:paraId="02CC3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0" w:type="pct"/>
            <w:noWrap w:val="0"/>
            <w:vAlign w:val="center"/>
          </w:tcPr>
          <w:p w14:paraId="5B494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824F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385" w:type="pct"/>
            <w:noWrap w:val="0"/>
            <w:vAlign w:val="center"/>
          </w:tcPr>
          <w:p w14:paraId="0485DD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110" w:type="pct"/>
            <w:noWrap w:val="0"/>
            <w:vAlign w:val="center"/>
          </w:tcPr>
          <w:p w14:paraId="18E0D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530" w:type="pct"/>
            <w:noWrap w:val="0"/>
            <w:vAlign w:val="center"/>
          </w:tcPr>
          <w:p w14:paraId="4BF7FD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10" w:type="pct"/>
            <w:noWrap w:val="0"/>
            <w:vAlign w:val="center"/>
          </w:tcPr>
          <w:p w14:paraId="6CD40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u w:val="none"/>
                <w:lang w:val="en-US" w:bidi="ar"/>
              </w:rPr>
            </w:pPr>
          </w:p>
        </w:tc>
        <w:tc>
          <w:tcPr>
            <w:tcW w:w="689" w:type="pct"/>
            <w:noWrap w:val="0"/>
            <w:vAlign w:val="center"/>
          </w:tcPr>
          <w:p w14:paraId="0D127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bidi="ar"/>
              </w:rPr>
            </w:pPr>
          </w:p>
        </w:tc>
        <w:tc>
          <w:tcPr>
            <w:tcW w:w="501" w:type="pct"/>
            <w:noWrap w:val="0"/>
            <w:vAlign w:val="center"/>
          </w:tcPr>
          <w:p w14:paraId="2CBCE1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12" w:type="pct"/>
            <w:noWrap w:val="0"/>
            <w:vAlign w:val="center"/>
          </w:tcPr>
          <w:p w14:paraId="03C55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0" w:type="pct"/>
            <w:noWrap w:val="0"/>
            <w:vAlign w:val="center"/>
          </w:tcPr>
          <w:p w14:paraId="45EDEF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20EC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385" w:type="pct"/>
            <w:noWrap w:val="0"/>
            <w:vAlign w:val="center"/>
          </w:tcPr>
          <w:p w14:paraId="7645B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110" w:type="pct"/>
            <w:noWrap w:val="0"/>
            <w:vAlign w:val="center"/>
          </w:tcPr>
          <w:p w14:paraId="0870E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530" w:type="pct"/>
            <w:noWrap w:val="0"/>
            <w:vAlign w:val="center"/>
          </w:tcPr>
          <w:p w14:paraId="449D6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10" w:type="pct"/>
            <w:noWrap w:val="0"/>
            <w:vAlign w:val="center"/>
          </w:tcPr>
          <w:p w14:paraId="2B1F22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u w:val="none"/>
                <w:lang w:val="en-US" w:bidi="ar"/>
              </w:rPr>
            </w:pPr>
          </w:p>
        </w:tc>
        <w:tc>
          <w:tcPr>
            <w:tcW w:w="689" w:type="pct"/>
            <w:noWrap w:val="0"/>
            <w:vAlign w:val="center"/>
          </w:tcPr>
          <w:p w14:paraId="4FF83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bidi="ar"/>
              </w:rPr>
            </w:pPr>
          </w:p>
        </w:tc>
        <w:tc>
          <w:tcPr>
            <w:tcW w:w="501" w:type="pct"/>
            <w:noWrap w:val="0"/>
            <w:vAlign w:val="center"/>
          </w:tcPr>
          <w:p w14:paraId="0592D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12" w:type="pct"/>
            <w:noWrap w:val="0"/>
            <w:vAlign w:val="center"/>
          </w:tcPr>
          <w:p w14:paraId="059F5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0" w:type="pct"/>
            <w:noWrap w:val="0"/>
            <w:vAlign w:val="center"/>
          </w:tcPr>
          <w:p w14:paraId="4048E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2831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385" w:type="pct"/>
            <w:noWrap w:val="0"/>
            <w:vAlign w:val="center"/>
          </w:tcPr>
          <w:p w14:paraId="192A57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110" w:type="pct"/>
            <w:noWrap w:val="0"/>
            <w:vAlign w:val="center"/>
          </w:tcPr>
          <w:p w14:paraId="3ABDC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530" w:type="pct"/>
            <w:noWrap w:val="0"/>
            <w:vAlign w:val="center"/>
          </w:tcPr>
          <w:p w14:paraId="6C75CE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10" w:type="pct"/>
            <w:noWrap w:val="0"/>
            <w:vAlign w:val="center"/>
          </w:tcPr>
          <w:p w14:paraId="20542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highlight w:val="none"/>
                <w:u w:val="none"/>
                <w:lang w:val="en-US" w:bidi="ar"/>
              </w:rPr>
            </w:pPr>
          </w:p>
        </w:tc>
        <w:tc>
          <w:tcPr>
            <w:tcW w:w="689" w:type="pct"/>
            <w:noWrap w:val="0"/>
            <w:vAlign w:val="center"/>
          </w:tcPr>
          <w:p w14:paraId="59F1E0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bidi="ar"/>
              </w:rPr>
            </w:pPr>
          </w:p>
        </w:tc>
        <w:tc>
          <w:tcPr>
            <w:tcW w:w="501" w:type="pct"/>
            <w:noWrap w:val="0"/>
            <w:vAlign w:val="center"/>
          </w:tcPr>
          <w:p w14:paraId="188C21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12" w:type="pct"/>
            <w:noWrap w:val="0"/>
            <w:vAlign w:val="center"/>
          </w:tcPr>
          <w:p w14:paraId="309BC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0" w:type="pct"/>
            <w:noWrap w:val="0"/>
            <w:vAlign w:val="center"/>
          </w:tcPr>
          <w:p w14:paraId="630FD6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346DB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385" w:type="pct"/>
            <w:noWrap w:val="0"/>
            <w:vAlign w:val="center"/>
          </w:tcPr>
          <w:p w14:paraId="1955F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110" w:type="pct"/>
            <w:noWrap w:val="0"/>
            <w:vAlign w:val="center"/>
          </w:tcPr>
          <w:p w14:paraId="089F3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530" w:type="pct"/>
            <w:noWrap w:val="0"/>
            <w:vAlign w:val="center"/>
          </w:tcPr>
          <w:p w14:paraId="419497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10" w:type="pct"/>
            <w:noWrap w:val="0"/>
            <w:vAlign w:val="center"/>
          </w:tcPr>
          <w:p w14:paraId="1B35C6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89" w:type="pct"/>
            <w:noWrap w:val="0"/>
            <w:vAlign w:val="center"/>
          </w:tcPr>
          <w:p w14:paraId="4D147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01" w:type="pct"/>
            <w:noWrap w:val="0"/>
            <w:vAlign w:val="center"/>
          </w:tcPr>
          <w:p w14:paraId="1583D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12" w:type="pct"/>
            <w:noWrap w:val="0"/>
            <w:vAlign w:val="center"/>
          </w:tcPr>
          <w:p w14:paraId="58268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0" w:type="pct"/>
            <w:noWrap w:val="0"/>
            <w:vAlign w:val="center"/>
          </w:tcPr>
          <w:p w14:paraId="38518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25665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385" w:type="pct"/>
            <w:noWrap w:val="0"/>
            <w:vAlign w:val="center"/>
          </w:tcPr>
          <w:p w14:paraId="0933B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110" w:type="pct"/>
            <w:noWrap w:val="0"/>
            <w:vAlign w:val="center"/>
          </w:tcPr>
          <w:p w14:paraId="246B4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530" w:type="pct"/>
            <w:noWrap w:val="0"/>
            <w:vAlign w:val="center"/>
          </w:tcPr>
          <w:p w14:paraId="19DA0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10" w:type="pct"/>
            <w:noWrap w:val="0"/>
            <w:vAlign w:val="center"/>
          </w:tcPr>
          <w:p w14:paraId="0D19C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89" w:type="pct"/>
            <w:noWrap w:val="0"/>
            <w:vAlign w:val="center"/>
          </w:tcPr>
          <w:p w14:paraId="214CB5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01" w:type="pct"/>
            <w:noWrap w:val="0"/>
            <w:vAlign w:val="center"/>
          </w:tcPr>
          <w:p w14:paraId="272E2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12" w:type="pct"/>
            <w:noWrap w:val="0"/>
            <w:vAlign w:val="center"/>
          </w:tcPr>
          <w:p w14:paraId="2E924E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0" w:type="pct"/>
            <w:noWrap w:val="0"/>
            <w:vAlign w:val="center"/>
          </w:tcPr>
          <w:p w14:paraId="033B7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41A88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385" w:type="pct"/>
            <w:noWrap w:val="0"/>
            <w:vAlign w:val="center"/>
          </w:tcPr>
          <w:p w14:paraId="477461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7</w:t>
            </w:r>
          </w:p>
        </w:tc>
        <w:tc>
          <w:tcPr>
            <w:tcW w:w="1110" w:type="pct"/>
            <w:noWrap w:val="0"/>
            <w:vAlign w:val="center"/>
          </w:tcPr>
          <w:p w14:paraId="03499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30" w:type="pct"/>
            <w:noWrap w:val="0"/>
            <w:vAlign w:val="center"/>
          </w:tcPr>
          <w:p w14:paraId="36EF9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10" w:type="pct"/>
            <w:noWrap w:val="0"/>
            <w:vAlign w:val="center"/>
          </w:tcPr>
          <w:p w14:paraId="46F65F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89" w:type="pct"/>
            <w:noWrap w:val="0"/>
            <w:vAlign w:val="center"/>
          </w:tcPr>
          <w:p w14:paraId="7921E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01" w:type="pct"/>
            <w:noWrap w:val="0"/>
            <w:vAlign w:val="center"/>
          </w:tcPr>
          <w:p w14:paraId="476D1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12" w:type="pct"/>
            <w:noWrap w:val="0"/>
            <w:vAlign w:val="center"/>
          </w:tcPr>
          <w:p w14:paraId="18921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0" w:type="pct"/>
            <w:noWrap w:val="0"/>
            <w:vAlign w:val="center"/>
          </w:tcPr>
          <w:p w14:paraId="31915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0D172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385" w:type="pct"/>
            <w:noWrap w:val="0"/>
            <w:vAlign w:val="center"/>
          </w:tcPr>
          <w:p w14:paraId="66F48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....</w:t>
            </w:r>
          </w:p>
        </w:tc>
        <w:tc>
          <w:tcPr>
            <w:tcW w:w="1110" w:type="pct"/>
            <w:noWrap w:val="0"/>
            <w:vAlign w:val="center"/>
          </w:tcPr>
          <w:p w14:paraId="1F2D33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530" w:type="pct"/>
            <w:noWrap w:val="0"/>
            <w:vAlign w:val="center"/>
          </w:tcPr>
          <w:p w14:paraId="6B2AE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10" w:type="pct"/>
            <w:noWrap w:val="0"/>
            <w:vAlign w:val="center"/>
          </w:tcPr>
          <w:p w14:paraId="5C8A5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689" w:type="pct"/>
            <w:noWrap w:val="0"/>
            <w:vAlign w:val="center"/>
          </w:tcPr>
          <w:p w14:paraId="0D401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501" w:type="pct"/>
            <w:noWrap w:val="0"/>
            <w:vAlign w:val="center"/>
          </w:tcPr>
          <w:p w14:paraId="59C45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12" w:type="pct"/>
            <w:noWrap w:val="0"/>
            <w:vAlign w:val="center"/>
          </w:tcPr>
          <w:p w14:paraId="0FEB2C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760" w:type="pct"/>
            <w:noWrap w:val="0"/>
            <w:vAlign w:val="center"/>
          </w:tcPr>
          <w:p w14:paraId="359D8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 w14:paraId="7FAA84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  <w:jc w:val="center"/>
        </w:trPr>
        <w:tc>
          <w:tcPr>
            <w:tcW w:w="3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66F91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  <w:t>合  计</w:t>
            </w:r>
          </w:p>
        </w:tc>
        <w:tc>
          <w:tcPr>
            <w:tcW w:w="3854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824B068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76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76EF014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00000"/>
                <w:sz w:val="24"/>
                <w:u w:val="none"/>
              </w:rPr>
            </w:pPr>
          </w:p>
        </w:tc>
      </w:tr>
    </w:tbl>
    <w:p w14:paraId="5213DEC4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  <w:lang w:val="zh-CN"/>
        </w:rPr>
      </w:pPr>
    </w:p>
    <w:p w14:paraId="474A21C9">
      <w:pPr>
        <w:keepNext w:val="0"/>
        <w:keepLines w:val="0"/>
        <w:pageBreakBefore/>
        <w:widowControl w:val="0"/>
        <w:tabs>
          <w:tab w:val="left" w:pos="73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bCs w:val="0"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000000"/>
          <w:sz w:val="28"/>
          <w:szCs w:val="28"/>
          <w:highlight w:val="none"/>
        </w:rPr>
        <w:t>二、合同价款</w:t>
      </w:r>
    </w:p>
    <w:p w14:paraId="5ABC23EF">
      <w:pPr>
        <w:tabs>
          <w:tab w:val="left" w:pos="735"/>
        </w:tabs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1、合同总价</w:t>
      </w:r>
    </w:p>
    <w:p w14:paraId="58F27AC2">
      <w:pPr>
        <w:tabs>
          <w:tab w:val="left" w:pos="735"/>
        </w:tabs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人民币（大写）：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人民币（小写）：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Cs/>
          <w:color w:val="000000"/>
          <w:sz w:val="28"/>
          <w:szCs w:val="28"/>
          <w:highlight w:val="none"/>
          <w:u w:val="single"/>
          <w:lang w:val="en-US" w:eastAsia="zh-CN"/>
        </w:rPr>
        <w:t xml:space="preserve">    </w:t>
      </w:r>
    </w:p>
    <w:p w14:paraId="00E154EE">
      <w:pPr>
        <w:tabs>
          <w:tab w:val="left" w:pos="735"/>
        </w:tabs>
        <w:adjustRightInd w:val="0"/>
        <w:snapToGrid w:val="0"/>
        <w:spacing w:line="360" w:lineRule="auto"/>
        <w:ind w:firstLine="560"/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2、合同总价包括：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eastAsia="zh-CN"/>
        </w:rPr>
        <w:t>产品价格包含所有的产品费、材料费、运输费、运输保险、技术服务费、质保服务费、备品备件费及增值税及其他税费、所有车辆上牌费、第一年交强险和商业险等费用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。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>合同总价为人民币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none"/>
          <w:lang w:val="en-US" w:eastAsia="zh-CN"/>
        </w:rPr>
        <w:t>，该价格在合同执行过程中是固定不变的。</w:t>
      </w:r>
    </w:p>
    <w:p w14:paraId="778B6C30">
      <w:pPr>
        <w:widowControl/>
        <w:spacing w:line="570" w:lineRule="exact"/>
        <w:ind w:firstLine="562" w:firstLineChars="200"/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000000"/>
          <w:sz w:val="28"/>
          <w:szCs w:val="28"/>
          <w:highlight w:val="none"/>
        </w:rPr>
        <w:t>三、</w:t>
      </w:r>
      <w:r>
        <w:rPr>
          <w:rFonts w:hint="eastAsia" w:ascii="宋体" w:hAnsi="宋体" w:eastAsia="宋体" w:cs="宋体"/>
          <w:b/>
          <w:bCs w:val="0"/>
          <w:color w:val="000000"/>
          <w:sz w:val="28"/>
          <w:szCs w:val="28"/>
          <w:highlight w:val="none"/>
          <w:lang w:val="en-US" w:eastAsia="zh-CN"/>
        </w:rPr>
        <w:t>合同价款结算</w:t>
      </w:r>
    </w:p>
    <w:p w14:paraId="1D468935">
      <w:pPr>
        <w:autoSpaceDE/>
        <w:autoSpaceDN/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bCs/>
          <w:color w:val="121212"/>
          <w:sz w:val="28"/>
          <w:szCs w:val="28"/>
          <w:highlight w:val="none"/>
          <w:u w:val="none"/>
          <w:lang w:val="zh-CN"/>
        </w:rPr>
      </w:pPr>
      <w:r>
        <w:rPr>
          <w:rFonts w:hint="eastAsia" w:ascii="宋体" w:hAnsi="宋体" w:eastAsia="宋体" w:cs="宋体"/>
          <w:bCs/>
          <w:color w:val="121212"/>
          <w:sz w:val="28"/>
          <w:szCs w:val="28"/>
          <w:highlight w:val="none"/>
          <w:u w:val="none"/>
          <w:lang w:val="zh-CN"/>
        </w:rPr>
        <w:t>付款方式</w:t>
      </w:r>
      <w:r>
        <w:rPr>
          <w:rFonts w:hint="eastAsia" w:ascii="宋体" w:hAnsi="宋体" w:eastAsia="宋体" w:cs="宋体"/>
          <w:bCs/>
          <w:color w:val="121212"/>
          <w:sz w:val="28"/>
          <w:szCs w:val="28"/>
          <w:highlight w:val="none"/>
          <w:u w:val="none"/>
          <w:lang w:val="zh-CN"/>
        </w:rPr>
        <w:t>：</w:t>
      </w:r>
    </w:p>
    <w:p w14:paraId="6387217D">
      <w:pPr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b/>
          <w:bCs w:val="0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sz w:val="28"/>
          <w:szCs w:val="28"/>
          <w:highlight w:val="none"/>
          <w:u w:val="none"/>
          <w:lang w:val="zh-CN"/>
        </w:rPr>
        <w:t>四、交货</w:t>
      </w:r>
      <w:r>
        <w:rPr>
          <w:rFonts w:hint="eastAsia" w:ascii="宋体" w:hAnsi="宋体" w:eastAsia="宋体" w:cs="宋体"/>
          <w:bCs/>
          <w:color w:val="000000"/>
          <w:sz w:val="28"/>
          <w:szCs w:val="28"/>
          <w:highlight w:val="none"/>
          <w:u w:val="none"/>
          <w:lang w:val="en-US" w:eastAsia="zh-CN"/>
        </w:rPr>
        <w:t>要求</w:t>
      </w:r>
    </w:p>
    <w:p w14:paraId="21C0E7C6">
      <w:pPr>
        <w:adjustRightInd/>
        <w:snapToGrid/>
        <w:spacing w:line="360" w:lineRule="auto"/>
        <w:ind w:firstLine="560" w:firstLineChars="200"/>
        <w:rPr>
          <w:rFonts w:hint="eastAsia" w:ascii="宋体" w:hAnsi="宋体" w:eastAsia="宋体" w:cs="宋体"/>
          <w:bCs/>
          <w:color w:val="000000"/>
          <w:sz w:val="28"/>
          <w:szCs w:val="28"/>
          <w:highlight w:val="none"/>
          <w:u w:val="none"/>
          <w:lang w:val="zh-CN"/>
        </w:rPr>
      </w:pPr>
      <w:r>
        <w:rPr>
          <w:rFonts w:hint="eastAsia" w:ascii="宋体" w:hAnsi="宋体" w:eastAsia="宋体" w:cs="宋体"/>
          <w:bCs/>
          <w:color w:val="000000"/>
          <w:sz w:val="28"/>
          <w:szCs w:val="28"/>
          <w:highlight w:val="none"/>
          <w:u w:val="none"/>
          <w:lang w:val="zh-CN"/>
        </w:rPr>
        <w:t>1、交货地点：</w:t>
      </w:r>
      <w:r>
        <w:rPr>
          <w:rFonts w:hint="eastAsia" w:ascii="宋体" w:hAnsi="宋体" w:eastAsia="宋体" w:cs="宋体"/>
          <w:bCs/>
          <w:color w:val="000000"/>
          <w:sz w:val="28"/>
          <w:szCs w:val="28"/>
          <w:highlight w:val="none"/>
          <w:u w:val="none"/>
          <w:lang w:val="en-US" w:eastAsia="zh-CN"/>
        </w:rPr>
        <w:t xml:space="preserve"> </w:t>
      </w:r>
    </w:p>
    <w:p w14:paraId="3F98D25D">
      <w:pPr>
        <w:spacing w:line="360" w:lineRule="auto"/>
        <w:ind w:firstLine="560" w:firstLineChars="200"/>
        <w:rPr>
          <w:rFonts w:hint="eastAsia" w:ascii="宋体" w:hAnsi="宋体" w:eastAsia="宋体" w:cs="宋体"/>
          <w:bCs/>
          <w:color w:val="000000"/>
          <w:sz w:val="28"/>
          <w:szCs w:val="28"/>
          <w:highlight w:val="none"/>
          <w:u w:val="none"/>
          <w:lang w:val="zh-CN"/>
        </w:rPr>
      </w:pPr>
      <w:r>
        <w:rPr>
          <w:rFonts w:hint="eastAsia" w:ascii="宋体" w:hAnsi="宋体" w:eastAsia="宋体" w:cs="宋体"/>
          <w:bCs/>
          <w:color w:val="000000"/>
          <w:sz w:val="28"/>
          <w:szCs w:val="28"/>
          <w:highlight w:val="none"/>
          <w:u w:val="none"/>
          <w:lang w:val="zh-CN"/>
        </w:rPr>
        <w:t>2、交货期限：</w:t>
      </w:r>
      <w:r>
        <w:rPr>
          <w:rFonts w:hint="eastAsia" w:ascii="宋体" w:hAnsi="宋体" w:eastAsia="宋体" w:cs="宋体"/>
          <w:bCs/>
          <w:color w:val="000000"/>
          <w:sz w:val="28"/>
          <w:szCs w:val="28"/>
          <w:highlight w:val="none"/>
          <w:u w:val="none"/>
          <w:lang w:val="en-US" w:eastAsia="zh-CN"/>
        </w:rPr>
        <w:t xml:space="preserve"> </w:t>
      </w:r>
    </w:p>
    <w:p w14:paraId="2E3539A9">
      <w:pPr>
        <w:tabs>
          <w:tab w:val="left" w:pos="735"/>
        </w:tabs>
        <w:adjustRightInd w:val="0"/>
        <w:snapToGrid w:val="0"/>
        <w:spacing w:line="360" w:lineRule="auto"/>
        <w:ind w:firstLine="562" w:firstLineChars="200"/>
        <w:rPr>
          <w:rFonts w:hint="eastAsia" w:ascii="宋体" w:hAnsi="宋体" w:eastAsia="宋体" w:cs="宋体"/>
          <w:b/>
          <w:bCs w:val="0"/>
          <w:color w:val="000000"/>
          <w:sz w:val="28"/>
          <w:szCs w:val="28"/>
          <w:highlight w:val="none"/>
          <w:lang w:val="ru-RU"/>
        </w:rPr>
      </w:pPr>
      <w:r>
        <w:rPr>
          <w:rFonts w:hint="eastAsia" w:ascii="宋体" w:hAnsi="宋体" w:eastAsia="宋体" w:cs="宋体"/>
          <w:b/>
          <w:bCs w:val="0"/>
          <w:color w:val="000000"/>
          <w:sz w:val="28"/>
          <w:szCs w:val="28"/>
          <w:highlight w:val="none"/>
          <w:lang w:val="ru-RU"/>
        </w:rPr>
        <w:t>五、包装</w:t>
      </w:r>
    </w:p>
    <w:p w14:paraId="381A6C07">
      <w:pPr>
        <w:adjustRightInd w:val="0"/>
        <w:snapToGrid w:val="0"/>
        <w:spacing w:line="360" w:lineRule="auto"/>
        <w:ind w:firstLine="645"/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1、设备包装应符合常规包装标准，具备良好的防潮抗震能力，保证设备的存放和运输安全。</w:t>
      </w:r>
    </w:p>
    <w:p w14:paraId="1FDA5777">
      <w:pPr>
        <w:adjustRightInd w:val="0"/>
        <w:snapToGrid w:val="0"/>
        <w:spacing w:line="360" w:lineRule="auto"/>
        <w:ind w:firstLine="645"/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2、由于包装不当而引起的设备损伤、锈蚀等质量问题设备，由乙方负责进行更换。</w:t>
      </w:r>
    </w:p>
    <w:p w14:paraId="4EA9B0B6">
      <w:pPr>
        <w:adjustRightInd w:val="0"/>
        <w:snapToGrid w:val="0"/>
        <w:spacing w:line="360" w:lineRule="auto"/>
        <w:ind w:firstLine="645"/>
        <w:rPr>
          <w:rFonts w:hint="eastAsia" w:ascii="宋体" w:hAnsi="宋体" w:eastAsia="宋体" w:cs="宋体"/>
          <w:bCs/>
          <w:color w:val="000000"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3、包装箱内应附有维修单、使用说明书、合格证等相关单据。</w:t>
      </w:r>
    </w:p>
    <w:p w14:paraId="6477FD38">
      <w:pPr>
        <w:tabs>
          <w:tab w:val="left" w:pos="735"/>
        </w:tabs>
        <w:adjustRightInd w:val="0"/>
        <w:snapToGrid w:val="0"/>
        <w:spacing w:line="360" w:lineRule="auto"/>
        <w:ind w:firstLine="562" w:firstLineChars="200"/>
        <w:rPr>
          <w:rFonts w:hint="eastAsia" w:ascii="宋体" w:hAnsi="宋体" w:eastAsia="宋体" w:cs="宋体"/>
          <w:b/>
          <w:bCs w:val="0"/>
          <w:color w:val="000000"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b/>
          <w:bCs w:val="0"/>
          <w:color w:val="000000"/>
          <w:sz w:val="28"/>
          <w:szCs w:val="28"/>
          <w:highlight w:val="none"/>
          <w:lang w:val="zh-CN"/>
        </w:rPr>
        <w:t>六、运输</w:t>
      </w:r>
    </w:p>
    <w:p w14:paraId="24C27BB3">
      <w:pPr>
        <w:adjustRightInd w:val="0"/>
        <w:snapToGrid w:val="0"/>
        <w:spacing w:line="360" w:lineRule="auto"/>
        <w:ind w:firstLine="645"/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1、乙方负责设备的运输，确保设备安全、完整地到达甲方指定地点。</w:t>
      </w:r>
    </w:p>
    <w:p w14:paraId="33222369">
      <w:pPr>
        <w:adjustRightInd w:val="0"/>
        <w:snapToGrid w:val="0"/>
        <w:spacing w:line="360" w:lineRule="auto"/>
        <w:ind w:firstLine="645"/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2、设备在运输过程中发生的一切风险，均由乙方承担。</w:t>
      </w:r>
    </w:p>
    <w:p w14:paraId="2F768267">
      <w:pPr>
        <w:spacing w:line="360" w:lineRule="auto"/>
        <w:ind w:firstLine="562" w:firstLineChars="200"/>
        <w:rPr>
          <w:rFonts w:hint="eastAsia" w:ascii="宋体" w:hAnsi="宋体" w:eastAsia="宋体" w:cs="宋体"/>
          <w:color w:val="000000"/>
          <w:sz w:val="18"/>
          <w:szCs w:val="18"/>
          <w:highlight w:val="none"/>
          <w:lang w:val="ru-RU"/>
        </w:rPr>
      </w:pPr>
      <w:r>
        <w:rPr>
          <w:rFonts w:hint="eastAsia" w:ascii="宋体" w:hAnsi="宋体" w:eastAsia="宋体" w:cs="宋体"/>
          <w:b/>
          <w:bCs w:val="0"/>
          <w:color w:val="000000"/>
          <w:sz w:val="28"/>
          <w:szCs w:val="28"/>
          <w:highlight w:val="none"/>
          <w:lang w:val="zh-CN"/>
        </w:rPr>
        <w:t>七、</w:t>
      </w:r>
      <w:r>
        <w:rPr>
          <w:rFonts w:hint="eastAsia" w:ascii="宋体" w:hAnsi="宋体" w:eastAsia="宋体" w:cs="宋体"/>
          <w:b/>
          <w:bCs w:val="0"/>
          <w:color w:val="000000"/>
          <w:sz w:val="28"/>
          <w:szCs w:val="28"/>
          <w:highlight w:val="none"/>
          <w:lang w:val="ru-RU"/>
        </w:rPr>
        <w:t>技术标准及质量要求</w:t>
      </w:r>
    </w:p>
    <w:p w14:paraId="50D5508C">
      <w:pPr>
        <w:adjustRightInd w:val="0"/>
        <w:snapToGrid w:val="0"/>
        <w:spacing w:line="360" w:lineRule="auto"/>
        <w:ind w:firstLine="840" w:firstLineChars="300"/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ru-RU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ru-RU"/>
        </w:rPr>
        <w:t>合同产品符合技术协议的要求及卖方在文件中对产品质量的承诺，并达到该产品的国家或行业现行最新产品质量标准和安全标准。</w:t>
      </w:r>
    </w:p>
    <w:p w14:paraId="04A765AC">
      <w:pPr>
        <w:tabs>
          <w:tab w:val="left" w:pos="735"/>
        </w:tabs>
        <w:adjustRightInd w:val="0"/>
        <w:snapToGrid w:val="0"/>
        <w:spacing w:line="360" w:lineRule="auto"/>
        <w:ind w:firstLine="562" w:firstLineChars="200"/>
        <w:rPr>
          <w:rFonts w:hint="eastAsia" w:ascii="宋体" w:hAnsi="宋体" w:eastAsia="宋体" w:cs="宋体"/>
          <w:b/>
          <w:bCs w:val="0"/>
          <w:color w:val="000000"/>
          <w:sz w:val="28"/>
          <w:szCs w:val="28"/>
          <w:highlight w:val="none"/>
          <w:lang w:val="zh-CN"/>
        </w:rPr>
      </w:pPr>
      <w:r>
        <w:rPr>
          <w:rFonts w:hint="eastAsia" w:ascii="宋体" w:hAnsi="宋体" w:eastAsia="宋体" w:cs="宋体"/>
          <w:b/>
          <w:bCs w:val="0"/>
          <w:color w:val="000000"/>
          <w:sz w:val="28"/>
          <w:szCs w:val="28"/>
          <w:highlight w:val="none"/>
          <w:lang w:val="zh-CN"/>
        </w:rPr>
        <w:t>八、验收</w:t>
      </w:r>
    </w:p>
    <w:p w14:paraId="2B8C9637">
      <w:pPr>
        <w:adjustRightInd w:val="0"/>
        <w:snapToGrid w:val="0"/>
        <w:spacing w:line="360" w:lineRule="auto"/>
        <w:ind w:firstLine="645"/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1、到货验收：货物到货后，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>乙方需提供合格证书等证件，并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由甲方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乙方共同进行验收，验收内容包括，外包装的完好性，货物品牌、规格、数量及产地与合同要求的一致性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>验收合格后，方可安装调试。如发现要求或质量标准的一律退货，造成的一切后果均有乙方负责；</w:t>
      </w:r>
    </w:p>
    <w:p w14:paraId="2B530F65">
      <w:pPr>
        <w:adjustRightInd w:val="0"/>
        <w:snapToGrid w:val="0"/>
        <w:spacing w:line="360" w:lineRule="auto"/>
        <w:ind w:firstLine="645"/>
        <w:jc w:val="left"/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2、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>安装调试完毕后，由甲方、乙方等有关单位组织自查验收，形成项目自查验收报告；</w:t>
      </w:r>
    </w:p>
    <w:p w14:paraId="77A25FDE">
      <w:pPr>
        <w:adjustRightInd w:val="0"/>
        <w:snapToGrid w:val="0"/>
        <w:spacing w:line="360" w:lineRule="auto"/>
        <w:ind w:firstLine="645"/>
        <w:jc w:val="left"/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、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>所有设备均到场自查无误后由上级主管部门组织验收；</w:t>
      </w:r>
    </w:p>
    <w:p w14:paraId="3C7DB5CE">
      <w:pPr>
        <w:adjustRightInd w:val="0"/>
        <w:snapToGrid w:val="0"/>
        <w:spacing w:line="360" w:lineRule="auto"/>
        <w:ind w:right="0" w:firstLine="645" w:firstLineChars="0"/>
        <w:jc w:val="left"/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>4、设备从自查验收合格之日起，进入设备质量保修期；</w:t>
      </w:r>
    </w:p>
    <w:p w14:paraId="0976DDF5">
      <w:pPr>
        <w:pStyle w:val="2"/>
        <w:rPr>
          <w:rFonts w:hint="eastAsia" w:ascii="宋体" w:hAnsi="宋体" w:eastAsia="宋体" w:cs="宋体"/>
          <w:lang w:val="en-US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 xml:space="preserve">     验收依据为双方签订的采购合同及国家相关标准和规范。</w:t>
      </w:r>
    </w:p>
    <w:p w14:paraId="35C739FF">
      <w:pPr>
        <w:numPr>
          <w:ilvl w:val="0"/>
          <w:numId w:val="1"/>
        </w:numPr>
        <w:adjustRightInd w:val="0"/>
        <w:snapToGrid w:val="0"/>
        <w:spacing w:line="360" w:lineRule="auto"/>
        <w:ind w:right="0" w:firstLine="645" w:firstLineChars="0"/>
        <w:jc w:val="left"/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>异议：</w:t>
      </w:r>
    </w:p>
    <w:p w14:paraId="63A84EC7">
      <w:pPr>
        <w:pStyle w:val="2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 xml:space="preserve">    5.1、甲方在验收中，如果发现乙方提供货物名称、包装、数量、型号和质量与中标的货物不符时，可立即拒收，也可在在验收3日内向乙方书面提出异议。若甲方未在规定期限提出书面异议，视为乙方提供货物符合合同规定；</w:t>
      </w:r>
    </w:p>
    <w:p w14:paraId="51F42775">
      <w:pPr>
        <w:numPr>
          <w:ilvl w:val="0"/>
          <w:numId w:val="0"/>
        </w:numPr>
        <w:adjustRightInd w:val="0"/>
        <w:snapToGrid w:val="0"/>
        <w:spacing w:line="360" w:lineRule="auto"/>
        <w:ind w:right="0" w:rightChars="0" w:firstLine="840" w:firstLineChars="300"/>
        <w:jc w:val="left"/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>5.2、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乙方收到甲方异议通知后，应在3日内进行核实确认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>并处理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，逾期不予核实确认的，视为甲方异议成立。</w:t>
      </w:r>
    </w:p>
    <w:p w14:paraId="2031AC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textAlignment w:val="auto"/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</w:rPr>
      </w:pPr>
      <w:bookmarkStart w:id="0" w:name="_Toc23679"/>
      <w:r>
        <w:rPr>
          <w:rFonts w:hint="eastAsia" w:ascii="宋体" w:hAnsi="宋体" w:eastAsia="宋体" w:cs="宋体"/>
          <w:b/>
          <w:bCs/>
          <w:color w:val="000000"/>
          <w:kern w:val="2"/>
          <w:sz w:val="28"/>
          <w:szCs w:val="28"/>
          <w:highlight w:val="none"/>
          <w:lang w:val="en-US" w:eastAsia="zh-CN" w:bidi="ar-SA"/>
        </w:rPr>
        <w:t>九、售后服务承诺</w:t>
      </w:r>
      <w:bookmarkEnd w:id="0"/>
    </w:p>
    <w:p w14:paraId="44056BEF"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b w:val="0"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 w:val="0"/>
          <w:color w:val="000000"/>
          <w:sz w:val="28"/>
          <w:szCs w:val="28"/>
          <w:highlight w:val="none"/>
        </w:rPr>
        <w:t>一、投标产品质保期限：</w:t>
      </w:r>
    </w:p>
    <w:p w14:paraId="5D09EE00"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b w:val="0"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 w:val="0"/>
          <w:color w:val="000000"/>
          <w:sz w:val="28"/>
          <w:szCs w:val="28"/>
          <w:highlight w:val="none"/>
        </w:rPr>
        <w:t>二、服务内容：</w:t>
      </w:r>
    </w:p>
    <w:p w14:paraId="098944C5">
      <w:pPr>
        <w:pStyle w:val="2"/>
        <w:rPr>
          <w:rFonts w:hint="eastAsia" w:ascii="宋体" w:hAnsi="宋体" w:eastAsia="宋体" w:cs="宋体"/>
          <w:b/>
          <w:bCs w:val="0"/>
          <w:color w:val="000000"/>
          <w:sz w:val="28"/>
          <w:szCs w:val="28"/>
          <w:highlight w:val="none"/>
          <w:lang w:val="zh-CN"/>
        </w:rPr>
      </w:pPr>
      <w:r>
        <w:rPr>
          <w:rStyle w:val="4"/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 w:val="0"/>
          <w:color w:val="000000"/>
          <w:sz w:val="28"/>
          <w:szCs w:val="28"/>
          <w:highlight w:val="none"/>
          <w:lang w:val="zh-CN"/>
        </w:rPr>
        <w:t>十、违约责任</w:t>
      </w:r>
    </w:p>
    <w:p w14:paraId="26611615"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1、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>乙方责任：</w:t>
      </w:r>
    </w:p>
    <w:p w14:paraId="04CE32E4"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>1.1需提供设备合格证书、说明书、保修卡等有关技术资料等，并达到安全正常使用；</w:t>
      </w:r>
    </w:p>
    <w:p w14:paraId="334A80F6"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>1.2全部车辆、设备外观包装均要求为原厂标准包装，乙方对所提供货物质量负责，因设备质量问题造成的损失，乙方应全部承担；</w:t>
      </w:r>
    </w:p>
    <w:p w14:paraId="4BA0B3DF"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>1.3质量保证按照国家标准和厂家规范实施，必须保证设备安全正常使用，质保期内，如果因货物问题造成人身或财产损失的，一切责任均有乙方承担；</w:t>
      </w:r>
    </w:p>
    <w:p w14:paraId="7D71234B">
      <w:pPr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>1.4合同签订后，若未按合同要求履行，除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向甲方支付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ru-RU"/>
        </w:rPr>
        <w:t>5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>%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  <w:t>违约金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>外，还按政府采购政策处罚，按《中华人民共和国民法典》追究法律责任。</w:t>
      </w:r>
    </w:p>
    <w:p w14:paraId="04701721">
      <w:pPr>
        <w:numPr>
          <w:ilvl w:val="0"/>
          <w:numId w:val="2"/>
        </w:numPr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>甲方责任：</w:t>
      </w:r>
    </w:p>
    <w:p w14:paraId="1FC18BB9">
      <w:pPr>
        <w:numPr>
          <w:ilvl w:val="0"/>
          <w:numId w:val="0"/>
        </w:numPr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>2.1甲方需给乙方提供必要条件（场地、人员），并协助乙方完成设备交验工作；</w:t>
      </w:r>
    </w:p>
    <w:p w14:paraId="7C62EB6B">
      <w:pPr>
        <w:numPr>
          <w:ilvl w:val="0"/>
          <w:numId w:val="0"/>
        </w:numPr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>2.2乙方设备到场后，甲方应及时组织验收，自乙方发出验收书面申请之日起30日内组织验收，逾期未验收视为自动验收合格，如有特殊情况需提前告知乙方协商验收时间；</w:t>
      </w:r>
    </w:p>
    <w:p w14:paraId="240FAE72">
      <w:pPr>
        <w:numPr>
          <w:ilvl w:val="0"/>
          <w:numId w:val="0"/>
        </w:numPr>
        <w:adjustRightInd w:val="0"/>
        <w:snapToGrid w:val="0"/>
        <w:spacing w:line="360" w:lineRule="auto"/>
        <w:ind w:firstLine="560" w:firstLineChars="200"/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lang w:val="en-US" w:eastAsia="zh-CN"/>
        </w:rPr>
        <w:t>2.3甲方无正当理由中途退货，应向乙方偿付退货部分货款2%的违约金。</w:t>
      </w:r>
    </w:p>
    <w:p w14:paraId="5CBD8C32">
      <w:pPr>
        <w:adjustRightInd w:val="0"/>
        <w:snapToGrid w:val="0"/>
        <w:spacing w:line="360" w:lineRule="auto"/>
        <w:ind w:firstLine="645"/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</w:rPr>
        <w:t>十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  <w:lang w:eastAsia="zh-CN"/>
        </w:rPr>
        <w:t>一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highlight w:val="none"/>
        </w:rPr>
        <w:t>、争议处理</w:t>
      </w:r>
    </w:p>
    <w:p w14:paraId="7656A55E">
      <w:pPr>
        <w:adjustRightInd w:val="0"/>
        <w:snapToGrid w:val="0"/>
        <w:spacing w:line="360" w:lineRule="auto"/>
        <w:ind w:firstLine="645"/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none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none"/>
        </w:rPr>
        <w:t>本合同在履行过程中发生的争议，由双方协商解决；协商不成时，可依法向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none"/>
          <w:lang w:val="en-US" w:eastAsia="zh-CN"/>
        </w:rPr>
        <w:t>原告</w:t>
      </w:r>
      <w:r>
        <w:rPr>
          <w:rFonts w:hint="eastAsia" w:ascii="宋体" w:hAnsi="宋体" w:eastAsia="宋体" w:cs="宋体"/>
          <w:color w:val="000000"/>
          <w:sz w:val="28"/>
          <w:szCs w:val="28"/>
          <w:highlight w:val="none"/>
          <w:u w:val="none"/>
        </w:rPr>
        <w:t>所在地人民法院提起诉讼。</w:t>
      </w:r>
    </w:p>
    <w:p w14:paraId="0B543B19">
      <w:pPr>
        <w:widowControl/>
        <w:autoSpaceDE w:val="0"/>
        <w:autoSpaceDN w:val="0"/>
        <w:snapToGrid w:val="0"/>
        <w:spacing w:line="360" w:lineRule="auto"/>
        <w:ind w:right="893" w:firstLine="551" w:firstLineChars="196"/>
        <w:textAlignment w:val="bottom"/>
        <w:rPr>
          <w:rFonts w:hint="eastAsia" w:ascii="宋体" w:hAnsi="宋体" w:eastAsia="宋体" w:cs="宋体"/>
          <w:b/>
          <w:bCs w:val="0"/>
          <w:color w:val="000000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000000"/>
          <w:kern w:val="0"/>
          <w:sz w:val="28"/>
          <w:szCs w:val="28"/>
          <w:highlight w:val="none"/>
        </w:rPr>
        <w:t>十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28"/>
          <w:szCs w:val="28"/>
          <w:highlight w:val="none"/>
          <w:lang w:eastAsia="zh-CN"/>
        </w:rPr>
        <w:t>二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28"/>
          <w:szCs w:val="28"/>
          <w:highlight w:val="none"/>
        </w:rPr>
        <w:t>、合同生效及其</w:t>
      </w:r>
      <w:r>
        <w:rPr>
          <w:rFonts w:hint="eastAsia" w:ascii="宋体" w:hAnsi="宋体" w:eastAsia="宋体" w:cs="宋体"/>
          <w:b/>
          <w:bCs w:val="0"/>
          <w:color w:val="000000"/>
          <w:kern w:val="0"/>
          <w:sz w:val="28"/>
          <w:szCs w:val="28"/>
          <w:highlight w:val="none"/>
          <w:lang w:val="en-US" w:eastAsia="zh-CN"/>
        </w:rPr>
        <w:t>他</w:t>
      </w:r>
    </w:p>
    <w:p w14:paraId="6EE0260E">
      <w:pPr>
        <w:widowControl/>
        <w:autoSpaceDE w:val="0"/>
        <w:autoSpaceDN w:val="0"/>
        <w:snapToGrid w:val="0"/>
        <w:spacing w:line="360" w:lineRule="auto"/>
        <w:ind w:right="-110" w:firstLine="560" w:firstLineChars="200"/>
        <w:textAlignment w:val="bottom"/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</w:rPr>
        <w:t>1、合同未尽事宜、由甲、乙双方协商，签订补充协议。补充协议为合同的组成部分，与原合同具有同等法律效力。</w:t>
      </w:r>
    </w:p>
    <w:p w14:paraId="73D44EFA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560" w:firstLineChars="200"/>
        <w:textAlignment w:val="bottom"/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</w:rPr>
        <w:t>2、本合同一式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</w:rPr>
        <w:t>份，甲方执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</w:rPr>
        <w:t>份，乙方执</w:t>
      </w:r>
      <w:bookmarkStart w:id="1" w:name="_GoBack"/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u w:val="single"/>
          <w:lang w:val="en-US" w:eastAsia="zh-CN"/>
        </w:rPr>
        <w:t xml:space="preserve">   </w:t>
      </w:r>
      <w:bookmarkEnd w:id="1"/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</w:rPr>
        <w:t>份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val="en-US" w:eastAsia="zh-CN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</w:rPr>
        <w:t>具有同等法律效力。</w:t>
      </w:r>
    </w:p>
    <w:p w14:paraId="3E60219D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560" w:firstLineChars="200"/>
        <w:textAlignment w:val="bottom"/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</w:rPr>
        <w:t>3、本合同经甲乙双方签字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  <w:lang w:eastAsia="zh-CN"/>
        </w:rPr>
        <w:t>或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</w:rPr>
        <w:t>盖章后生效。</w:t>
      </w:r>
    </w:p>
    <w:p w14:paraId="4A9350F8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560" w:firstLineChars="200"/>
        <w:textAlignment w:val="bottom"/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</w:rPr>
      </w:pPr>
    </w:p>
    <w:p w14:paraId="066C4F22">
      <w:pPr>
        <w:jc w:val="left"/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eastAsia="zh-CN"/>
        </w:rPr>
        <w:t>采购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方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  <w:t xml:space="preserve">                                 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  <w:t>供货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eastAsia="zh-CN"/>
        </w:rPr>
        <w:t>方</w:t>
      </w:r>
    </w:p>
    <w:p w14:paraId="5E0CC7C4">
      <w:pPr>
        <w:jc w:val="both"/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</w:pPr>
    </w:p>
    <w:p w14:paraId="022920ED">
      <w:pPr>
        <w:ind w:left="0" w:firstLine="0" w:firstLineChars="0"/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名称：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  <w:t>（盖章）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名称：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  <w:t>（盖章）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  <w:t xml:space="preserve">    </w:t>
      </w:r>
    </w:p>
    <w:p w14:paraId="279619A6">
      <w:pPr>
        <w:ind w:firstLine="0" w:firstLineChars="0"/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地址：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  <w:t xml:space="preserve">                              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地址：</w:t>
      </w:r>
    </w:p>
    <w:p w14:paraId="6C1D5C42">
      <w:pPr>
        <w:ind w:firstLine="0" w:firstLineChars="0"/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  <w:t>法定代表人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  <w:t>法定代表人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  <w:t xml:space="preserve"> </w:t>
      </w:r>
    </w:p>
    <w:p w14:paraId="3FF36372">
      <w:pPr>
        <w:ind w:left="0" w:firstLine="0" w:firstLineChars="0"/>
        <w:jc w:val="left"/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  <w:t>或委托代理人（签字或盖章）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  <w:t>或委托代理人（签字或盖章）</w:t>
      </w:r>
    </w:p>
    <w:p w14:paraId="6B8A2577">
      <w:pPr>
        <w:ind w:left="0" w:firstLine="0" w:firstLineChars="0"/>
        <w:jc w:val="left"/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</w:pPr>
    </w:p>
    <w:p w14:paraId="74444BE3">
      <w:pPr>
        <w:ind w:firstLine="0" w:firstLineChars="0"/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  <w:t>联系人：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  <w:t xml:space="preserve">                           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  <w:t>联系人：</w:t>
      </w:r>
    </w:p>
    <w:p w14:paraId="73819FC4">
      <w:pPr>
        <w:ind w:firstLine="0" w:firstLineChars="0"/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  <w:t xml:space="preserve">    </w:t>
      </w:r>
    </w:p>
    <w:p w14:paraId="5F28E741">
      <w:pPr>
        <w:ind w:firstLine="0" w:firstLineChars="0"/>
        <w:jc w:val="left"/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  <w:t>联系方式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：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  <w:t>联系方式</w:t>
      </w:r>
      <w:r>
        <w:rPr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：</w:t>
      </w:r>
    </w:p>
    <w:p w14:paraId="561D647B">
      <w:pPr>
        <w:ind w:firstLine="0" w:firstLineChars="0"/>
        <w:jc w:val="left"/>
        <w:rPr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</w:pPr>
    </w:p>
    <w:p w14:paraId="58447A31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560" w:firstLineChars="200"/>
        <w:textAlignment w:val="bottom"/>
        <w:rPr>
          <w:rFonts w:hint="eastAsia" w:ascii="宋体" w:hAnsi="宋体" w:eastAsia="宋体" w:cs="宋体"/>
          <w:color w:val="000000"/>
          <w:kern w:val="0"/>
          <w:sz w:val="28"/>
          <w:szCs w:val="28"/>
          <w:highlight w:val="none"/>
        </w:rPr>
      </w:pPr>
    </w:p>
    <w:p w14:paraId="15E12E67">
      <w:pPr>
        <w:pStyle w:val="2"/>
        <w:rPr>
          <w:rFonts w:hint="eastAsia" w:ascii="宋体" w:hAnsi="宋体" w:eastAsia="宋体" w:cs="宋体"/>
        </w:rPr>
      </w:pPr>
    </w:p>
    <w:p w14:paraId="7662D9BC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0244316"/>
    <w:multiLevelType w:val="singleLevel"/>
    <w:tmpl w:val="E0244316"/>
    <w:lvl w:ilvl="0" w:tentative="0">
      <w:start w:val="5"/>
      <w:numFmt w:val="decimal"/>
      <w:suff w:val="nothing"/>
      <w:lvlText w:val="%1、"/>
      <w:lvlJc w:val="left"/>
    </w:lvl>
  </w:abstractNum>
  <w:abstractNum w:abstractNumId="1">
    <w:nsid w:val="088B8D18"/>
    <w:multiLevelType w:val="singleLevel"/>
    <w:tmpl w:val="088B8D18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266B0"/>
    <w:rsid w:val="43C21B48"/>
    <w:rsid w:val="562A14D4"/>
    <w:rsid w:val="61917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pPr>
      <w:tabs>
        <w:tab w:val="right" w:leader="dot" w:pos="8460"/>
      </w:tabs>
      <w:spacing w:line="480" w:lineRule="auto"/>
    </w:pPr>
    <w:rPr>
      <w:rFonts w:ascii="宋体" w:hAnsi="宋体"/>
      <w:color w:val="FF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2025-11-13T11:13:49Z</dcterms:created>
  <dc:creator>Administrator</dc:creator>
  <cp:lastModifiedBy>Administrator</cp:lastModifiedBy>
  <dcterms:modified xsi:type="dcterms:W3CDTF">2025-11-13T11:22:46Z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265A37FB279748A2988F1740F1B9091B_12</vt:lpwstr>
  </property>
</Properties>
</file>