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版本号：ZCZB-2025-012520251201001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2025年合阳县农户科学储粮项目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ZCZB-2025-0125</w:t>
      </w:r>
      <w:r>
        <w:br/>
      </w:r>
      <w:r>
        <w:br/>
      </w:r>
      <w:r>
        <w:br/>
      </w:r>
    </w:p>
    <w:p>
      <w:pPr>
        <w:pStyle w:val="null3"/>
        <w:jc w:val="center"/>
        <w:outlineLvl w:val="2"/>
      </w:pPr>
      <w:r>
        <w:rPr>
          <w:rFonts w:ascii="仿宋_GB2312" w:hAnsi="仿宋_GB2312" w:cs="仿宋_GB2312" w:eastAsia="仿宋_GB2312"/>
          <w:sz w:val="28"/>
          <w:b/>
        </w:rPr>
        <w:t>合阳县粮食和物资储备中心</w:t>
      </w:r>
    </w:p>
    <w:p>
      <w:pPr>
        <w:pStyle w:val="null3"/>
        <w:jc w:val="center"/>
        <w:outlineLvl w:val="2"/>
      </w:pPr>
      <w:r>
        <w:rPr>
          <w:rFonts w:ascii="仿宋_GB2312" w:hAnsi="仿宋_GB2312" w:cs="仿宋_GB2312" w:eastAsia="仿宋_GB2312"/>
          <w:sz w:val="28"/>
          <w:b/>
        </w:rPr>
        <w:t>陕西正城项目管理有限公司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陕西正城项目管理有限公司</w:t>
      </w:r>
      <w:r>
        <w:rPr>
          <w:rFonts w:ascii="仿宋_GB2312" w:hAnsi="仿宋_GB2312" w:cs="仿宋_GB2312" w:eastAsia="仿宋_GB2312"/>
        </w:rPr>
        <w:t>（以下简称“代理机构”）受</w:t>
      </w:r>
      <w:r>
        <w:rPr>
          <w:rFonts w:ascii="仿宋_GB2312" w:hAnsi="仿宋_GB2312" w:cs="仿宋_GB2312" w:eastAsia="仿宋_GB2312"/>
        </w:rPr>
        <w:t>合阳县粮食和物资储备中心</w:t>
      </w:r>
      <w:r>
        <w:rPr>
          <w:rFonts w:ascii="仿宋_GB2312" w:hAnsi="仿宋_GB2312" w:cs="仿宋_GB2312" w:eastAsia="仿宋_GB2312"/>
        </w:rPr>
        <w:t>委托，拟对</w:t>
      </w:r>
      <w:r>
        <w:rPr>
          <w:rFonts w:ascii="仿宋_GB2312" w:hAnsi="仿宋_GB2312" w:cs="仿宋_GB2312" w:eastAsia="仿宋_GB2312"/>
        </w:rPr>
        <w:t>2025年合阳县农户科学储粮项目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ZCZB-2025-0125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2025年合阳县农户科学储粮项目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采购小型储粮仓6000套。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采购包1（2025年合阳县农户科学储粮项目）：属于专门面向中小企业采购。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p>
      <w:pPr>
        <w:pStyle w:val="null3"/>
      </w:pPr>
      <w:r>
        <w:rPr>
          <w:rFonts w:ascii="仿宋_GB2312" w:hAnsi="仿宋_GB2312" w:cs="仿宋_GB2312" w:eastAsia="仿宋_GB2312"/>
        </w:rPr>
        <w:t>2、税收缴纳证明：提供2024年11月1日以来任意一个月税收缴纳证明（至少包含增值税或企业所得税其中一种），依法免税的单位应提供相关证明材料；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3、社会保障资金缴纳证明：提供2024年11月1日以来任意一个月的社会保障资金缴存单据或社保机构开具的社会保险参保缴费情况证明，依法不需要缴纳社会保障资金的单位应提供相关证明材料；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4、承诺函：具备履行合同所必需的设备和专业技术能力的证明材料；</w:t>
      </w:r>
    </w:p>
    <w:p>
      <w:pPr>
        <w:pStyle w:val="null3"/>
      </w:pPr>
      <w:r>
        <w:rPr>
          <w:rFonts w:ascii="仿宋_GB2312" w:hAnsi="仿宋_GB2312" w:cs="仿宋_GB2312" w:eastAsia="仿宋_GB2312"/>
        </w:rPr>
        <w:t>5、无违法记录：参加政府采购活动前3年内在经营活动中没有重大违法记录的书面声明；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法定代表人授权书：供应商代表应提供法定代表人（单位负责人）授权书（附法定代表人（单位负责人）及被授权人身份证复印件）并提供被授权人身份证原件，（法定代表人（单位负责人）直接参加只须提供法定代表人（单位负责人）身份证）原件；</w:t>
      </w:r>
    </w:p>
    <w:p>
      <w:pPr>
        <w:pStyle w:val="null3"/>
      </w:pPr>
      <w:r>
        <w:rPr>
          <w:rFonts w:ascii="仿宋_GB2312" w:hAnsi="仿宋_GB2312" w:cs="仿宋_GB2312" w:eastAsia="仿宋_GB2312"/>
        </w:rPr>
        <w:t>8、信用情况：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其它：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合阳县粮食和物资储备中心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合阳县城西新街05号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18629069065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西安市莲湖区唐延路北段20号太和时代广场C座206室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029-88617546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开户名称：陕西正城项目管理有限公司</w:t>
            </w:r>
          </w:p>
          <w:p>
            <w:pPr>
              <w:pStyle w:val="null3"/>
            </w:pPr>
            <w:r>
              <w:rPr>
                <w:rFonts w:ascii="仿宋_GB2312" w:hAnsi="仿宋_GB2312" w:cs="仿宋_GB2312" w:eastAsia="仿宋_GB2312"/>
              </w:rPr>
              <w:t>开户银行：交通银行西安大寨路支行</w:t>
            </w:r>
          </w:p>
          <w:p>
            <w:pPr>
              <w:pStyle w:val="null3"/>
            </w:pPr>
            <w:r>
              <w:rPr>
                <w:rFonts w:ascii="仿宋_GB2312" w:hAnsi="仿宋_GB2312" w:cs="仿宋_GB2312" w:eastAsia="仿宋_GB2312"/>
              </w:rPr>
              <w:t>银行账号：611301079013001226728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参照“国家计委关于印发《招标代理服务收费管理暂行办法》的通知（计价格[2002]1980号）、国家发展计划委员会文件（发改办价格[2003]857号）国家发展改革委办公厅关于招标代理服务收费有关问题的通知”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合阳县粮食和物资储备中心</w:t>
      </w:r>
      <w:r>
        <w:rPr>
          <w:rFonts w:ascii="仿宋_GB2312" w:hAnsi="仿宋_GB2312" w:cs="仿宋_GB2312" w:eastAsia="仿宋_GB2312"/>
        </w:rPr>
        <w:t>和</w:t>
      </w:r>
      <w:r>
        <w:rPr>
          <w:rFonts w:ascii="仿宋_GB2312" w:hAnsi="仿宋_GB2312" w:cs="仿宋_GB2312" w:eastAsia="仿宋_GB2312"/>
        </w:rPr>
        <w:t>陕西正城项目管理有限公司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合阳县粮食和物资储备中心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合阳县粮食和物资储备中心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w:t>
      </w:r>
    </w:p>
    <w:p>
      <w:pPr>
        <w:pStyle w:val="null3"/>
      </w:pPr>
      <w:r>
        <w:rPr>
          <w:rFonts w:ascii="仿宋_GB2312" w:hAnsi="仿宋_GB2312" w:cs="仿宋_GB2312" w:eastAsia="仿宋_GB2312"/>
        </w:rPr>
        <w:t>联系电话：029-88617546</w:t>
      </w:r>
    </w:p>
    <w:p>
      <w:pPr>
        <w:pStyle w:val="null3"/>
      </w:pPr>
      <w:r>
        <w:rPr>
          <w:rFonts w:ascii="仿宋_GB2312" w:hAnsi="仿宋_GB2312" w:cs="仿宋_GB2312" w:eastAsia="仿宋_GB2312"/>
        </w:rPr>
        <w:t>地址：西安市莲湖区唐延路北段20号太和时代广场C座206室</w:t>
      </w:r>
    </w:p>
    <w:p>
      <w:pPr>
        <w:pStyle w:val="null3"/>
      </w:pPr>
      <w:r>
        <w:rPr>
          <w:rFonts w:ascii="仿宋_GB2312" w:hAnsi="仿宋_GB2312" w:cs="仿宋_GB2312" w:eastAsia="仿宋_GB2312"/>
        </w:rPr>
        <w:t>邮编：710003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采购小型储粮仓6000套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小型储粮仓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标的名称：小型储粮仓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9"/>
              <w:gridCol w:w="1498"/>
              <w:gridCol w:w="261"/>
              <w:gridCol w:w="257"/>
              <w:gridCol w:w="236"/>
            </w:tblGrid>
            <w:tr>
              <w:tc>
                <w:tcPr>
                  <w:tcW w:type="dxa" w:w="299"/>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1498"/>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c>
                <w:tcPr>
                  <w:tcW w:type="dxa" w:w="261"/>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57"/>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23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9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小型储粮仓</w:t>
                  </w:r>
                </w:p>
              </w:tc>
              <w:tc>
                <w:tcPr>
                  <w:tcW w:type="dxa" w:w="1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小型储粮仓制作板材：</w:t>
                  </w:r>
                </w:p>
                <w:p>
                  <w:pPr>
                    <w:pStyle w:val="null3"/>
                    <w:jc w:val="left"/>
                  </w:pPr>
                  <w:r>
                    <w:rPr>
                      <w:rFonts w:ascii="仿宋_GB2312" w:hAnsi="仿宋_GB2312" w:cs="仿宋_GB2312" w:eastAsia="仿宋_GB2312"/>
                      <w:sz w:val="24"/>
                      <w:color w:val="000000"/>
                    </w:rPr>
                    <w:t>选用彩钢板，板材厚度为：仓体</w:t>
                  </w:r>
                  <w:r>
                    <w:rPr>
                      <w:rFonts w:ascii="仿宋_GB2312" w:hAnsi="仿宋_GB2312" w:cs="仿宋_GB2312" w:eastAsia="仿宋_GB2312"/>
                      <w:sz w:val="24"/>
                      <w:color w:val="000000"/>
                    </w:rPr>
                    <w:t>0.45mm；仓盖0.5mm。板材颜色为灰白色或海蓝色，材质要求执行GB/T12754-2006标准，确保符合农户科学储粮仓建设标准要求。</w:t>
                  </w:r>
                </w:p>
              </w:tc>
              <w:tc>
                <w:tcPr>
                  <w:tcW w:type="dxa" w:w="2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6000</w:t>
                  </w:r>
                </w:p>
              </w:tc>
              <w:tc>
                <w:tcPr>
                  <w:tcW w:type="dxa" w:w="25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3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9"/>
                  <w:vMerge/>
                  <w:tcBorders>
                    <w:top w:val="single" w:color="000000" w:sz="4"/>
                    <w:left w:val="single" w:color="000000" w:sz="4"/>
                    <w:bottom w:val="single" w:color="000000" w:sz="4"/>
                    <w:right w:val="single" w:color="000000" w:sz="4"/>
                  </w:tcBorders>
                </w:tcP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小型储粮仓规格要求：</w:t>
                  </w:r>
                </w:p>
                <w:p>
                  <w:pPr>
                    <w:pStyle w:val="null3"/>
                    <w:jc w:val="left"/>
                  </w:pPr>
                  <w:r>
                    <w:rPr>
                      <w:rFonts w:ascii="仿宋_GB2312" w:hAnsi="仿宋_GB2312" w:cs="仿宋_GB2312" w:eastAsia="仿宋_GB2312"/>
                      <w:sz w:val="24"/>
                    </w:rPr>
                    <w:t>仓型为</w:t>
                  </w:r>
                  <w:r>
                    <w:rPr>
                      <w:rFonts w:ascii="仿宋_GB2312" w:hAnsi="仿宋_GB2312" w:cs="仿宋_GB2312" w:eastAsia="仿宋_GB2312"/>
                      <w:sz w:val="24"/>
                    </w:rPr>
                    <w:t>JSBZ-015-Ⅱ型，容积1.5立方米，自重约30kg，仓容≥1050kg，小型储粮仓由仓盖、仓体、出粮口和防潮垫组成。</w:t>
                  </w:r>
                  <w:r>
                    <w:br/>
                  </w:r>
                </w:p>
              </w:tc>
              <w:tc>
                <w:tcPr>
                  <w:tcW w:type="dxa" w:w="261"/>
                  <w:vMerge/>
                  <w:tcBorders>
                    <w:top w:val="single" w:color="000000" w:sz="4"/>
                    <w:left w:val="none" w:color="000000" w:sz="4"/>
                    <w:bottom w:val="single" w:color="000000" w:sz="4"/>
                    <w:right w:val="single" w:color="000000" w:sz="4"/>
                  </w:tcBorders>
                </w:tcPr>
                <w:p/>
              </w:tc>
              <w:tc>
                <w:tcPr>
                  <w:tcW w:type="dxa" w:w="257"/>
                  <w:vMerge/>
                  <w:tcBorders>
                    <w:top w:val="single" w:color="000000" w:sz="4"/>
                    <w:left w:val="none" w:color="000000" w:sz="4"/>
                    <w:bottom w:val="single" w:color="000000" w:sz="4"/>
                    <w:right w:val="single" w:color="000000" w:sz="4"/>
                  </w:tcBorders>
                </w:tcPr>
                <w:p/>
              </w:tc>
              <w:tc>
                <w:tcPr>
                  <w:tcW w:type="dxa" w:w="236"/>
                  <w:vMerge/>
                  <w:tcBorders>
                    <w:top w:val="single" w:color="000000" w:sz="4"/>
                    <w:left w:val="none" w:color="000000" w:sz="4"/>
                    <w:bottom w:val="single" w:color="000000" w:sz="4"/>
                    <w:right w:val="single" w:color="000000" w:sz="4"/>
                  </w:tcBorders>
                </w:tcPr>
                <w:p/>
              </w:tc>
            </w:tr>
            <w:tr>
              <w:tc>
                <w:tcPr>
                  <w:tcW w:type="dxa" w:w="299"/>
                  <w:vMerge/>
                  <w:tcBorders>
                    <w:top w:val="single" w:color="000000" w:sz="4"/>
                    <w:left w:val="single" w:color="000000" w:sz="4"/>
                    <w:bottom w:val="single" w:color="000000" w:sz="4"/>
                    <w:right w:val="single" w:color="000000" w:sz="4"/>
                  </w:tcBorders>
                </w:tcP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各部位加工工艺及要求：</w:t>
                  </w:r>
                  <w:r>
                    <w:br/>
                  </w:r>
                  <w:r>
                    <w:rPr>
                      <w:rFonts w:ascii="仿宋_GB2312" w:hAnsi="仿宋_GB2312" w:cs="仿宋_GB2312" w:eastAsia="仿宋_GB2312"/>
                      <w:sz w:val="24"/>
                    </w:rPr>
                    <w:t>（</w:t>
                  </w:r>
                  <w:r>
                    <w:rPr>
                      <w:rFonts w:ascii="仿宋_GB2312" w:hAnsi="仿宋_GB2312" w:cs="仿宋_GB2312" w:eastAsia="仿宋_GB2312"/>
                      <w:sz w:val="24"/>
                    </w:rPr>
                    <w:t>1）仓体：是由上中下三个圆桶套叠组合。</w:t>
                  </w:r>
                </w:p>
                <w:p>
                  <w:pPr>
                    <w:pStyle w:val="null3"/>
                    <w:jc w:val="left"/>
                  </w:pPr>
                  <w:r>
                    <w:rPr>
                      <w:rFonts w:ascii="仿宋_GB2312" w:hAnsi="仿宋_GB2312" w:cs="仿宋_GB2312" w:eastAsia="仿宋_GB2312"/>
                      <w:sz w:val="24"/>
                    </w:rPr>
                    <w:t>仓体侧壁以单平咬口方式连接，卷边宽度不小于</w:t>
                  </w:r>
                  <w:r>
                    <w:rPr>
                      <w:rFonts w:ascii="仿宋_GB2312" w:hAnsi="仿宋_GB2312" w:cs="仿宋_GB2312" w:eastAsia="仿宋_GB2312"/>
                      <w:sz w:val="24"/>
                    </w:rPr>
                    <w:t>6mm，每层上下口套接的上边缘和下边缘采用卷边工艺内包Φ3mm±0.05mm冷拔丝翻卷360度，表面光滑无毛刺，套接部分宽度为25mm±2mm。仓体要凸出轧制加强筋，加强筋宽度为10mm±1.5mm，每层仓体不少于8根加强筋。</w:t>
                  </w:r>
                  <w:r>
                    <w:br/>
                  </w:r>
                  <w:r>
                    <w:rPr>
                      <w:rFonts w:ascii="仿宋_GB2312" w:hAnsi="仿宋_GB2312" w:cs="仿宋_GB2312" w:eastAsia="仿宋_GB2312"/>
                      <w:sz w:val="24"/>
                    </w:rPr>
                    <w:t>仓体顶层直径为</w:t>
                  </w:r>
                  <w:r>
                    <w:rPr>
                      <w:rFonts w:ascii="仿宋_GB2312" w:hAnsi="仿宋_GB2312" w:cs="仿宋_GB2312" w:eastAsia="仿宋_GB2312"/>
                      <w:sz w:val="24"/>
                    </w:rPr>
                    <w:t>1136mm±6mm，高度为470mm±4mm，仓体中层直径为1146mm±6mm，高度为470mm±4mm，仓体底层直径为1156mm±6mm，高度为575mm±4mm 。仓体侧壁与仓底采用卷边方式连接，宽度不小于5mm。</w:t>
                  </w:r>
                  <w:r>
                    <w:br/>
                  </w:r>
                  <w:r>
                    <w:rPr>
                      <w:rFonts w:ascii="仿宋_GB2312" w:hAnsi="仿宋_GB2312" w:cs="仿宋_GB2312" w:eastAsia="仿宋_GB2312"/>
                      <w:sz w:val="24"/>
                    </w:rPr>
                    <w:t>（</w:t>
                  </w:r>
                  <w:r>
                    <w:rPr>
                      <w:rFonts w:ascii="仿宋_GB2312" w:hAnsi="仿宋_GB2312" w:cs="仿宋_GB2312" w:eastAsia="仿宋_GB2312"/>
                      <w:sz w:val="24"/>
                    </w:rPr>
                    <w:t>2）仓盖：必须一次性冲压（拉伸）成塔形整体，仓盖扣接高度为30mm±5mm，扣接下边缘翻转360度内包Φ3mm±0.05mm冷拔丝，仓盖锥形表面轧制八道放射形加强筋，加强筋宽度20mm±2mm、长度230mm±5mm，仓盖塔形过度直径分别为470mm±4mm、970mm±6mm、1100mm±6mm。仓盖扣接部分上下边缘直径分别为1147mm±6mm、1157mm±6mm。</w:t>
                  </w:r>
                  <w:r>
                    <w:br/>
                  </w:r>
                  <w:r>
                    <w:rPr>
                      <w:rFonts w:ascii="仿宋_GB2312" w:hAnsi="仿宋_GB2312" w:cs="仿宋_GB2312" w:eastAsia="仿宋_GB2312"/>
                      <w:sz w:val="24"/>
                    </w:rPr>
                    <w:t>（</w:t>
                  </w:r>
                  <w:r>
                    <w:rPr>
                      <w:rFonts w:ascii="仿宋_GB2312" w:hAnsi="仿宋_GB2312" w:cs="仿宋_GB2312" w:eastAsia="仿宋_GB2312"/>
                      <w:sz w:val="24"/>
                    </w:rPr>
                    <w:t>3）出粮口设在底层仓体上，出粮口中线与仓底高度为455mm±10mm，出粮口选用矩形分体式，出粮口大小尺寸为85mm×85mm，采用4套M5镀锌螺丝安装。出粮口材料采用ABS无色塑料制作。</w:t>
                  </w:r>
                  <w:r>
                    <w:br/>
                  </w:r>
                  <w:r>
                    <w:rPr>
                      <w:rFonts w:ascii="仿宋_GB2312" w:hAnsi="仿宋_GB2312" w:cs="仿宋_GB2312" w:eastAsia="仿宋_GB2312"/>
                      <w:sz w:val="24"/>
                    </w:rPr>
                    <w:t>（</w:t>
                  </w:r>
                  <w:r>
                    <w:rPr>
                      <w:rFonts w:ascii="仿宋_GB2312" w:hAnsi="仿宋_GB2312" w:cs="仿宋_GB2312" w:eastAsia="仿宋_GB2312"/>
                      <w:sz w:val="24"/>
                    </w:rPr>
                    <w:t>4）小型储粮仓在指定位置网印标识且标识内容包括：在仓体顶层仓圈正面网印农户科学储粮专项标识，即“陕西省农户科学储粮专项工程”(弧形）、“农户科学储粮仓徽标”及“XXXXXXXXXX局 监制”；在仓体中层仓圈正面粘贴“注意事项”在仓体底层仓圈正面网印编号：</w:t>
                  </w:r>
                  <w:r>
                    <w:rPr>
                      <w:rFonts w:ascii="仿宋_GB2312" w:hAnsi="仿宋_GB2312" w:cs="仿宋_GB2312" w:eastAsia="仿宋_GB2312"/>
                      <w:sz w:val="24"/>
                    </w:rPr>
                    <w:t>陕</w:t>
                  </w:r>
                  <w:r>
                    <w:rPr>
                      <w:rFonts w:ascii="仿宋_GB2312" w:hAnsi="仿宋_GB2312" w:cs="仿宋_GB2312" w:eastAsia="仿宋_GB2312"/>
                      <w:sz w:val="24"/>
                    </w:rPr>
                    <w:t>-20250001</w:t>
                  </w:r>
                  <w:r>
                    <w:rPr>
                      <w:rFonts w:ascii="仿宋_GB2312" w:hAnsi="仿宋_GB2312" w:cs="仿宋_GB2312" w:eastAsia="仿宋_GB2312"/>
                      <w:sz w:val="24"/>
                    </w:rPr>
                    <w:t>”。所有粮仓逐一编号，一仓一号，便于登记。</w:t>
                  </w:r>
                  <w:r>
                    <w:br/>
                  </w:r>
                  <w:r>
                    <w:rPr>
                      <w:rFonts w:ascii="仿宋_GB2312" w:hAnsi="仿宋_GB2312" w:cs="仿宋_GB2312" w:eastAsia="仿宋_GB2312"/>
                      <w:sz w:val="24"/>
                    </w:rPr>
                    <w:t>（</w:t>
                  </w:r>
                  <w:r>
                    <w:rPr>
                      <w:rFonts w:ascii="仿宋_GB2312" w:hAnsi="仿宋_GB2312" w:cs="仿宋_GB2312" w:eastAsia="仿宋_GB2312"/>
                      <w:sz w:val="24"/>
                    </w:rPr>
                    <w:t>5）防潮垫：</w:t>
                  </w:r>
                  <w:r>
                    <w:br/>
                  </w:r>
                  <w:r>
                    <w:rPr>
                      <w:rFonts w:ascii="仿宋_GB2312" w:hAnsi="仿宋_GB2312" w:cs="仿宋_GB2312" w:eastAsia="仿宋_GB2312"/>
                      <w:sz w:val="24"/>
                    </w:rPr>
                    <w:t>规格：直径为</w:t>
                  </w:r>
                  <w:r>
                    <w:rPr>
                      <w:rFonts w:ascii="仿宋_GB2312" w:hAnsi="仿宋_GB2312" w:cs="仿宋_GB2312" w:eastAsia="仿宋_GB2312"/>
                      <w:sz w:val="24"/>
                    </w:rPr>
                    <w:t>1180mm±20mm，厚度20mm±2mm,材料为聚苯乙烯泡沫板，泡沫板密度为14Kg/M3。</w:t>
                  </w:r>
                  <w:r>
                    <w:br/>
                  </w:r>
                  <w:r>
                    <w:rPr>
                      <w:rFonts w:ascii="仿宋_GB2312" w:hAnsi="仿宋_GB2312" w:cs="仿宋_GB2312" w:eastAsia="仿宋_GB2312"/>
                      <w:sz w:val="24"/>
                    </w:rPr>
                    <w:t>（</w:t>
                  </w:r>
                  <w:r>
                    <w:rPr>
                      <w:rFonts w:ascii="仿宋_GB2312" w:hAnsi="仿宋_GB2312" w:cs="仿宋_GB2312" w:eastAsia="仿宋_GB2312"/>
                      <w:sz w:val="24"/>
                    </w:rPr>
                    <w:t>6）每套小型储粮仓须配置产品使用说明书、出厂检验合格证，并在仓体表面装贴“注意事项”，经</w:t>
                  </w:r>
                  <w:r>
                    <w:rPr>
                      <w:rFonts w:ascii="仿宋_GB2312" w:hAnsi="仿宋_GB2312" w:cs="仿宋_GB2312" w:eastAsia="仿宋_GB2312"/>
                      <w:sz w:val="24"/>
                    </w:rPr>
                    <w:t>验收合格后供应商</w:t>
                  </w:r>
                  <w:r>
                    <w:rPr>
                      <w:rFonts w:ascii="仿宋_GB2312" w:hAnsi="仿宋_GB2312" w:cs="仿宋_GB2312" w:eastAsia="仿宋_GB2312"/>
                      <w:sz w:val="24"/>
                    </w:rPr>
                    <w:t>负责送货上门至采购人指定地点。</w:t>
                  </w:r>
                </w:p>
              </w:tc>
              <w:tc>
                <w:tcPr>
                  <w:tcW w:type="dxa" w:w="261"/>
                  <w:vMerge/>
                  <w:tcBorders>
                    <w:top w:val="single" w:color="000000" w:sz="4"/>
                    <w:left w:val="none" w:color="000000" w:sz="4"/>
                    <w:bottom w:val="single" w:color="000000" w:sz="4"/>
                    <w:right w:val="single" w:color="000000" w:sz="4"/>
                  </w:tcBorders>
                </w:tcPr>
                <w:p/>
              </w:tc>
              <w:tc>
                <w:tcPr>
                  <w:tcW w:type="dxa" w:w="257"/>
                  <w:vMerge/>
                  <w:tcBorders>
                    <w:top w:val="single" w:color="000000" w:sz="4"/>
                    <w:left w:val="none" w:color="000000" w:sz="4"/>
                    <w:bottom w:val="single" w:color="000000" w:sz="4"/>
                    <w:right w:val="single" w:color="000000" w:sz="4"/>
                  </w:tcBorders>
                </w:tcPr>
                <w:p/>
              </w:tc>
              <w:tc>
                <w:tcPr>
                  <w:tcW w:type="dxa" w:w="236"/>
                  <w:vMerge/>
                  <w:tcBorders>
                    <w:top w:val="single" w:color="000000" w:sz="4"/>
                    <w:left w:val="none" w:color="000000" w:sz="4"/>
                    <w:bottom w:val="single" w:color="000000" w:sz="4"/>
                    <w:right w:val="single" w:color="000000" w:sz="4"/>
                  </w:tcBorders>
                </w:tcPr>
                <w:p/>
              </w:tc>
            </w:tr>
            <w:tr>
              <w:tc>
                <w:tcPr>
                  <w:tcW w:type="dxa" w:w="299"/>
                  <w:vMerge/>
                  <w:tcBorders>
                    <w:top w:val="single" w:color="000000" w:sz="4"/>
                    <w:left w:val="single" w:color="000000" w:sz="4"/>
                    <w:bottom w:val="single" w:color="000000" w:sz="4"/>
                    <w:right w:val="single" w:color="000000" w:sz="4"/>
                  </w:tcBorders>
                </w:tcP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color w:val="000000"/>
                    </w:rPr>
                    <w:t>质量要求：</w:t>
                  </w:r>
                </w:p>
                <w:p>
                  <w:pPr>
                    <w:pStyle w:val="null3"/>
                    <w:jc w:val="left"/>
                  </w:pPr>
                  <w:r>
                    <w:rPr>
                      <w:rFonts w:ascii="仿宋_GB2312" w:hAnsi="仿宋_GB2312" w:cs="仿宋_GB2312" w:eastAsia="仿宋_GB2312"/>
                      <w:sz w:val="24"/>
                      <w:color w:val="000000"/>
                    </w:rPr>
                    <w:t>小型储粮仓必须达到上不漏、下不潮，密封严，能防虫、防鼠、防霉变，坚固耐用，使用方便，美观大方；仓体内壁、仓底及外表面应光滑无毛刺；仓体不允许有裂纹、剥层、斑痕和锈蚀。确保符合</w:t>
                  </w:r>
                  <w:r>
                    <w:rPr>
                      <w:rFonts w:ascii="仿宋_GB2312" w:hAnsi="仿宋_GB2312" w:cs="仿宋_GB2312" w:eastAsia="仿宋_GB2312"/>
                      <w:sz w:val="24"/>
                      <w:color w:val="000000"/>
                    </w:rPr>
                    <w:t>《农户小型粮仓建设标准》</w:t>
                  </w:r>
                  <w:r>
                    <w:rPr>
                      <w:rFonts w:ascii="仿宋_GB2312" w:hAnsi="仿宋_GB2312" w:cs="仿宋_GB2312" w:eastAsia="仿宋_GB2312"/>
                      <w:sz w:val="24"/>
                      <w:color w:val="000000"/>
                    </w:rPr>
                    <w:t>LS/T8005-2023</w:t>
                  </w:r>
                  <w:r>
                    <w:rPr>
                      <w:rFonts w:ascii="仿宋_GB2312" w:hAnsi="仿宋_GB2312" w:cs="仿宋_GB2312" w:eastAsia="仿宋_GB2312"/>
                      <w:sz w:val="24"/>
                      <w:color w:val="000000"/>
                    </w:rPr>
                    <w:t>及《</w:t>
                  </w:r>
                  <w:r>
                    <w:rPr>
                      <w:rFonts w:ascii="仿宋_GB2312" w:hAnsi="仿宋_GB2312" w:cs="仿宋_GB2312" w:eastAsia="仿宋_GB2312"/>
                      <w:sz w:val="24"/>
                      <w:color w:val="000000"/>
                    </w:rPr>
                    <w:t>农户小型粮仓通用图纸彩钢板组合仓》</w:t>
                  </w:r>
                  <w:r>
                    <w:rPr>
                      <w:rFonts w:ascii="仿宋_GB2312" w:hAnsi="仿宋_GB2312" w:cs="仿宋_GB2312" w:eastAsia="仿宋_GB2312"/>
                      <w:sz w:val="24"/>
                      <w:color w:val="000000"/>
                    </w:rPr>
                    <w:t>JSBZ-015的要求</w:t>
                  </w:r>
                  <w:r>
                    <w:rPr>
                      <w:rFonts w:ascii="仿宋_GB2312" w:hAnsi="仿宋_GB2312" w:cs="仿宋_GB2312" w:eastAsia="仿宋_GB2312"/>
                      <w:sz w:val="24"/>
                      <w:color w:val="000000"/>
                    </w:rPr>
                    <w:t>。</w:t>
                  </w:r>
                </w:p>
              </w:tc>
              <w:tc>
                <w:tcPr>
                  <w:tcW w:type="dxa" w:w="261"/>
                  <w:vMerge/>
                  <w:tcBorders>
                    <w:top w:val="single" w:color="000000" w:sz="4"/>
                    <w:left w:val="none" w:color="000000" w:sz="4"/>
                    <w:bottom w:val="single" w:color="000000" w:sz="4"/>
                    <w:right w:val="single" w:color="000000" w:sz="4"/>
                  </w:tcBorders>
                </w:tcPr>
                <w:p/>
              </w:tc>
              <w:tc>
                <w:tcPr>
                  <w:tcW w:type="dxa" w:w="257"/>
                  <w:vMerge/>
                  <w:tcBorders>
                    <w:top w:val="single" w:color="000000" w:sz="4"/>
                    <w:left w:val="none" w:color="000000" w:sz="4"/>
                    <w:bottom w:val="single" w:color="000000" w:sz="4"/>
                    <w:right w:val="single" w:color="000000" w:sz="4"/>
                  </w:tcBorders>
                </w:tcPr>
                <w:p/>
              </w:tc>
              <w:tc>
                <w:tcPr>
                  <w:tcW w:type="dxa" w:w="236"/>
                  <w:vMerge/>
                  <w:tcBorders>
                    <w:top w:val="single" w:color="000000" w:sz="4"/>
                    <w:left w:val="non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货物交付并安装调试完成，验收合格后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1、本项目采购文件、投标（响应）文件； 2、本项目合同及附件文本； 3、合同签订时国家及行业现行的标准和技术规范。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本项目包含的所有内容，保修期：自项目验收合格之日起1年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代表应提供法定代表人（单位负责人）授权书（附法定代表人（单位负责人）及被授权人身份证复印件）并提供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是否按照招标文件规定提交了投标保证金或担保机构保函。</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投标文件封面 陕西省政府采购供应商拒绝政府采购领域商业贿赂承诺书.docx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1.质保期在满足招标文件要求的基础上，每增加1年得0.5分，满分1分。 交货期在满足招标文件要求基础上，每提前10个日历天得0.5分，满分1分。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供应商提供的投标产品中每有一项节能产品(已列入节能产品政府采购品目清单且非强制采购产品)为经国家认证的得 0.5 分，每有一项环境标志产品（已列入环境标志产品政府采购品目清单）为经国家认证的得 0.5分。满分1分。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非强制节能、环境标志产品清单.docx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供应商所投产品技术参数清楚、明确并能逐条响应并满足招标文件“采购内容及技术要求”参数表中所有参数要求， （1）满足招标文件技术指标参数得5分，每有一条负偏离扣1分，扣完为止。 （2）对招标文件参数有进一步说明的得5分，照搬“招标文件参数技术指标”中内容未做进一步说明的每项扣0.5分，扣完为止。 （3）优于招标文件参数要求的每有一项得1分，最高得5分。 备注：参数需提供相应证明材料（证明材料包含但不限于技术白皮书、官网功能截图、产品彩页、产品技术说明、相关检测报告等资料任意一种。）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针对本项目提供完整的项目供货方案：内容包含：①供货实施计划；②生产安装及调试方案；③培训方案；④应急预案等组织措施；⑤人员配备；⑥到货后分配方案。 2、 评审标准 ①完整性：方案须全面，对评审内容中的各项要求有详细描述及说明； ②可实施性：切合本项目实际情况，实施步骤清晰、科学、合理； ③针对性：方案能够紧扣项目实际情况，内容全面、科学合理、详细具体。 3、赋分标准 ①供货实施计划每完全满足一个评审标准得1.5分，满分4.5分； ②生产安装及调试方案每完全满足一个评审标准得1.5分，满分4.5分； ③培训方案每完全满足一个评审标准得1分，满分3分； ④应急预案等组织措施每完全满足一个评审标准得1分，满分3分； ⑤人员配备每完全满足一个评审标准得1分，满分3分；⑥到货后分配方案每完全满足一个评审标准得1分，满分3分。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货源组织</w:t>
            </w:r>
          </w:p>
        </w:tc>
        <w:tc>
          <w:tcPr>
            <w:tcW w:type="dxa" w:w="2492"/>
          </w:tcPr>
          <w:p>
            <w:pPr>
              <w:pStyle w:val="null3"/>
            </w:pPr>
            <w:r>
              <w:rPr>
                <w:rFonts w:ascii="仿宋_GB2312" w:hAnsi="仿宋_GB2312" w:cs="仿宋_GB2312" w:eastAsia="仿宋_GB2312"/>
              </w:rPr>
              <w:t>小型储粮仓需提供产品的合法来源渠道证明材料或情况说明，提供合法证明材料得5分，未提供不得分。 备注：①投标人为所投产品的制造商，需提供情况说明，说明某一项产品为投标人自己生产。 ②投标人为所投产品代理商或其他情况，产品来源渠道合法的证明材料包括但不限于原厂授权书、销售协议、代理协议等证明材料其中任意一种。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合法来源渠道证明材料.docx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质量保障措施根据供应商提供的①质量保障承诺及措施；②产品性能；③验收方案及措施。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①质量保障承诺及措施每完全满足一个评审标准得1分，满分3分； ②产品性能每完全满足一个评审标准得1 分，满分3分； ③验收方案及措施每完全满足一个评审标准得1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售后服务方案：包含①维护保养时间安排；②备品备件计划；③售后服务范围及保障措施；④出现故障响应时间及措施；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①维护保养时间安排每完全满足一个评审标准得1分，满分3分； ②备品备件计划每完全满足一个评审标准得1 分，满分3分； ③售后服务范围及保障措施每完全满足一个评审标准得1分，满分3分； ④出现故障响应时间及措施每完全满足一个评审标准得1分，满分3分 。</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2022年1月1日起至今，供应商承担的类似项目业绩。（提供合同复印件含清单或中标（成交）通知书复印件含清单），每提供1份完整合格的业绩得1分，最高得5分；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详见附件：合法来源渠道证明材料.docx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详见附件：非强制节能、环境标志产品清单.docx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