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版本号：JZZB2025-114620251224001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合阳县农业投入品监管系统整县推进项目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JZZB2025-1146</w:t>
      </w:r>
      <w:r>
        <w:br/>
      </w:r>
      <w:r>
        <w:br/>
      </w:r>
      <w:r>
        <w:br/>
      </w:r>
    </w:p>
    <w:p>
      <w:pPr>
        <w:pStyle w:val="null3"/>
        <w:jc w:val="center"/>
        <w:outlineLvl w:val="2"/>
      </w:pPr>
      <w:r>
        <w:rPr>
          <w:rFonts w:ascii="仿宋_GB2312" w:hAnsi="仿宋_GB2312" w:cs="仿宋_GB2312" w:eastAsia="仿宋_GB2312"/>
          <w:sz w:val="28"/>
          <w:b/>
        </w:rPr>
        <w:t>合阳县农业农村局</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合阳县农业农村局</w:t>
      </w:r>
      <w:r>
        <w:rPr>
          <w:rFonts w:ascii="仿宋_GB2312" w:hAnsi="仿宋_GB2312" w:cs="仿宋_GB2312" w:eastAsia="仿宋_GB2312"/>
        </w:rPr>
        <w:t>委托，拟对</w:t>
      </w:r>
      <w:r>
        <w:rPr>
          <w:rFonts w:ascii="仿宋_GB2312" w:hAnsi="仿宋_GB2312" w:cs="仿宋_GB2312" w:eastAsia="仿宋_GB2312"/>
        </w:rPr>
        <w:t>合阳县农业投入品监管系统整县推进项目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JZZB2025-1146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合阳县农业投入品监管系统整县推进项目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农资门店智能终端购置集成服务、农资监管平台接入服务、安装部署与网络调试及售后服务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1、授权书：法定代表人直接参加磋商的，须出具法人身份证明及身份证复印件；法定代表人授权代表参加磋商的，须出具法定代表人授权书及授权代表身份证复印件；</w:t>
      </w:r>
    </w:p>
    <w:p>
      <w:pPr>
        <w:pStyle w:val="null3"/>
      </w:pPr>
      <w:r>
        <w:rPr>
          <w:rFonts w:ascii="仿宋_GB2312" w:hAnsi="仿宋_GB2312" w:cs="仿宋_GB2312" w:eastAsia="仿宋_GB2312"/>
        </w:rPr>
        <w:t>2、供应商承诺：单位负责人为同一人或者存在直接控股、管理关系的不同供应商，不得参加同一合同项下的政府采购活动。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合阳县农业农村局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合阳县南大街中段南关市场西口</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王伟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18681967888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西安市碑林区更新街13号铭爵大厦2号楼7楼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卢荣丹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15829663649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 xml:space="preserve"> 秦维纲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 xml:space="preserve"> 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开户名称：陕西金字招标有限责任公司</w:t>
            </w:r>
          </w:p>
          <w:p>
            <w:pPr>
              <w:pStyle w:val="null3"/>
            </w:pPr>
            <w:r>
              <w:rPr>
                <w:rFonts w:ascii="仿宋_GB2312" w:hAnsi="仿宋_GB2312" w:cs="仿宋_GB2312" w:eastAsia="仿宋_GB2312"/>
              </w:rPr>
              <w:t>开户银行：浙江网商银行股份有限公司</w:t>
            </w:r>
          </w:p>
          <w:p>
            <w:pPr>
              <w:pStyle w:val="null3"/>
            </w:pPr>
            <w:r>
              <w:rPr>
                <w:rFonts w:ascii="仿宋_GB2312" w:hAnsi="仿宋_GB2312" w:cs="仿宋_GB2312" w:eastAsia="仿宋_GB2312"/>
              </w:rPr>
              <w:t>银行账号： 8888888167310240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合阳县农业农村局</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合阳县农业农村局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合阳县农业农村局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以实际合同内容为准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联系人：卢荣丹</w:t>
      </w:r>
    </w:p>
    <w:p>
      <w:pPr>
        <w:pStyle w:val="null3"/>
      </w:pPr>
      <w:r>
        <w:rPr>
          <w:rFonts w:ascii="仿宋_GB2312" w:hAnsi="仿宋_GB2312" w:cs="仿宋_GB2312" w:eastAsia="仿宋_GB2312"/>
        </w:rPr>
        <w:t>联系电话：15829663649</w:t>
      </w:r>
    </w:p>
    <w:p>
      <w:pPr>
        <w:pStyle w:val="null3"/>
      </w:pPr>
      <w:r>
        <w:rPr>
          <w:rFonts w:ascii="仿宋_GB2312" w:hAnsi="仿宋_GB2312" w:cs="仿宋_GB2312" w:eastAsia="仿宋_GB2312"/>
        </w:rPr>
        <w:t>地址：西安市碑林区更新街13号铭爵大厦2号楼7楼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农资门店智能终端购置集成服务、农资监管平台接入服务、安装部署与网络调试及售后服务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646,000.00</w:t>
      </w:r>
    </w:p>
    <w:p>
      <w:pPr>
        <w:pStyle w:val="null3"/>
      </w:pPr>
      <w:r>
        <w:rPr>
          <w:rFonts w:ascii="仿宋_GB2312" w:hAnsi="仿宋_GB2312" w:cs="仿宋_GB2312" w:eastAsia="仿宋_GB2312"/>
        </w:rPr>
        <w:t>采购包最高限价（元）: 640,600.00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合阳县农业投入品监管系统整县推进项目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标的名称：合阳县农业投入品监管系统整县推进项目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86"/>
              <w:gridCol w:w="319"/>
              <w:gridCol w:w="1201"/>
              <w:gridCol w:w="258"/>
              <w:gridCol w:w="289"/>
            </w:tblGrid>
            <w:tr>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center"/>
                  </w:pPr>
                  <w:r>
                    <w:rPr>
                      <w:rFonts w:ascii="仿宋_GB2312" w:hAnsi="仿宋_GB2312" w:cs="仿宋_GB2312" w:eastAsia="仿宋_GB2312"/>
                      <w:sz w:val="21"/>
                      <w:b/>
                    </w:rPr>
                    <w:t>采购类别</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jc w:val="center"/>
                  </w:pPr>
                  <w:r>
                    <w:rPr>
                      <w:rFonts w:ascii="仿宋_GB2312" w:hAnsi="仿宋_GB2312" w:cs="仿宋_GB2312" w:eastAsia="仿宋_GB2312"/>
                      <w:sz w:val="21"/>
                      <w:b/>
                    </w:rPr>
                    <w:t>名称</w:t>
                  </w:r>
                </w:p>
              </w:tc>
              <w:tc>
                <w:tcPr>
                  <w:tcW w:type="dxa" w:w="1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jc w:val="both"/>
                  </w:pPr>
                  <w:r>
                    <w:rPr>
                      <w:rFonts w:ascii="仿宋_GB2312" w:hAnsi="仿宋_GB2312" w:cs="仿宋_GB2312" w:eastAsia="仿宋_GB2312"/>
                      <w:sz w:val="21"/>
                      <w:b/>
                    </w:rPr>
                    <w:t>主要参数和技术要求</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ind w:left="210"/>
                    <w:jc w:val="center"/>
                  </w:pPr>
                  <w:r>
                    <w:rPr>
                      <w:rFonts w:ascii="仿宋_GB2312" w:hAnsi="仿宋_GB2312" w:cs="仿宋_GB2312" w:eastAsia="仿宋_GB2312"/>
                      <w:sz w:val="21"/>
                      <w:b/>
                    </w:rPr>
                    <w:t>单位</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ind w:left="210"/>
                    <w:jc w:val="center"/>
                  </w:pPr>
                  <w:r>
                    <w:rPr>
                      <w:rFonts w:ascii="仿宋_GB2312" w:hAnsi="仿宋_GB2312" w:cs="仿宋_GB2312" w:eastAsia="仿宋_GB2312"/>
                      <w:sz w:val="21"/>
                      <w:b/>
                    </w:rPr>
                    <w:t>数量</w:t>
                  </w:r>
                </w:p>
              </w:tc>
            </w:tr>
            <w:tr>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1、农资门店智能终端购置集成服务</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right="60"/>
                    <w:jc w:val="both"/>
                  </w:pPr>
                  <w:r>
                    <w:rPr>
                      <w:rFonts w:ascii="仿宋_GB2312" w:hAnsi="仿宋_GB2312" w:cs="仿宋_GB2312" w:eastAsia="仿宋_GB2312"/>
                      <w:sz w:val="21"/>
                    </w:rPr>
                    <w:t>销售一体机设备</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30"/>
                    <w:jc w:val="both"/>
                  </w:pPr>
                  <w:r>
                    <w:rPr>
                      <w:rFonts w:ascii="仿宋_GB2312" w:hAnsi="仿宋_GB2312" w:cs="仿宋_GB2312" w:eastAsia="仿宋_GB2312"/>
                      <w:sz w:val="21"/>
                    </w:rPr>
                    <w:t>1.主屏≥ 12"HD,客显≥10"HD；</w:t>
                  </w:r>
                </w:p>
                <w:p>
                  <w:pPr>
                    <w:pStyle w:val="null3"/>
                    <w:ind w:left="30"/>
                    <w:jc w:val="both"/>
                  </w:pPr>
                  <w:r>
                    <w:rPr>
                      <w:rFonts w:ascii="仿宋_GB2312" w:hAnsi="仿宋_GB2312" w:cs="仿宋_GB2312" w:eastAsia="仿宋_GB2312"/>
                      <w:sz w:val="21"/>
                    </w:rPr>
                    <w:t>2.处理器4 核</w:t>
                  </w:r>
                  <w:r>
                    <w:rPr>
                      <w:rFonts w:ascii="仿宋_GB2312" w:hAnsi="仿宋_GB2312" w:cs="仿宋_GB2312" w:eastAsia="仿宋_GB2312"/>
                      <w:sz w:val="19"/>
                    </w:rPr>
                    <w:t xml:space="preserve"> </w:t>
                  </w:r>
                  <w:r>
                    <w:rPr>
                      <w:rFonts w:ascii="仿宋_GB2312" w:hAnsi="仿宋_GB2312" w:cs="仿宋_GB2312" w:eastAsia="仿宋_GB2312"/>
                      <w:sz w:val="21"/>
                    </w:rPr>
                    <w:t>2.0GHz或以上；</w:t>
                  </w:r>
                </w:p>
                <w:p>
                  <w:pPr>
                    <w:pStyle w:val="null3"/>
                    <w:ind w:left="30"/>
                    <w:jc w:val="both"/>
                  </w:pPr>
                  <w:r>
                    <w:rPr>
                      <w:rFonts w:ascii="仿宋_GB2312" w:hAnsi="仿宋_GB2312" w:cs="仿宋_GB2312" w:eastAsia="仿宋_GB2312"/>
                      <w:sz w:val="21"/>
                    </w:rPr>
                    <w:t>3.存储器≥ 2GBRAM+16GBROM；</w:t>
                  </w:r>
                </w:p>
                <w:p>
                  <w:pPr>
                    <w:pStyle w:val="null3"/>
                    <w:ind w:left="15"/>
                    <w:jc w:val="both"/>
                  </w:pPr>
                  <w:r>
                    <w:rPr>
                      <w:rFonts w:ascii="仿宋_GB2312" w:hAnsi="仿宋_GB2312" w:cs="仿宋_GB2312" w:eastAsia="仿宋_GB2312"/>
                      <w:sz w:val="21"/>
                    </w:rPr>
                    <w:t>4.触摸屏支持电容多点触摸；</w:t>
                  </w:r>
                </w:p>
                <w:p>
                  <w:pPr>
                    <w:pStyle w:val="null3"/>
                    <w:ind w:left="30"/>
                    <w:jc w:val="both"/>
                  </w:pPr>
                  <w:r>
                    <w:rPr>
                      <w:rFonts w:ascii="仿宋_GB2312" w:hAnsi="仿宋_GB2312" w:cs="仿宋_GB2312" w:eastAsia="仿宋_GB2312"/>
                      <w:sz w:val="21"/>
                    </w:rPr>
                    <w:t>5.</w:t>
                  </w:r>
                  <w:r>
                    <w:rPr>
                      <w:rFonts w:ascii="仿宋_GB2312" w:hAnsi="仿宋_GB2312" w:cs="仿宋_GB2312" w:eastAsia="仿宋_GB2312"/>
                      <w:sz w:val="19"/>
                    </w:rPr>
                    <w:t xml:space="preserve"> </w:t>
                  </w:r>
                  <w:r>
                    <w:rPr>
                      <w:rFonts w:ascii="仿宋_GB2312" w:hAnsi="仿宋_GB2312" w:cs="仿宋_GB2312" w:eastAsia="仿宋_GB2312"/>
                      <w:sz w:val="21"/>
                    </w:rPr>
                    <w:t>支持</w:t>
                  </w:r>
                  <w:r>
                    <w:rPr>
                      <w:rFonts w:ascii="仿宋_GB2312" w:hAnsi="仿宋_GB2312" w:cs="仿宋_GB2312" w:eastAsia="仿宋_GB2312"/>
                      <w:sz w:val="21"/>
                    </w:rPr>
                    <w:t>Wi-Fi；</w:t>
                  </w:r>
                </w:p>
                <w:p>
                  <w:pPr>
                    <w:pStyle w:val="null3"/>
                    <w:ind w:left="30"/>
                    <w:jc w:val="both"/>
                  </w:pPr>
                  <w:r>
                    <w:rPr>
                      <w:rFonts w:ascii="仿宋_GB2312" w:hAnsi="仿宋_GB2312" w:cs="仿宋_GB2312" w:eastAsia="仿宋_GB2312"/>
                      <w:sz w:val="21"/>
                    </w:rPr>
                    <w:t>6.具备蓝牙功能；</w:t>
                  </w:r>
                </w:p>
                <w:p>
                  <w:pPr>
                    <w:pStyle w:val="null3"/>
                    <w:ind w:left="30"/>
                    <w:jc w:val="both"/>
                  </w:pPr>
                  <w:r>
                    <w:rPr>
                      <w:rFonts w:ascii="仿宋_GB2312" w:hAnsi="仿宋_GB2312" w:cs="仿宋_GB2312" w:eastAsia="仿宋_GB2312"/>
                      <w:sz w:val="21"/>
                    </w:rPr>
                    <w:t>7.外部 USB 接口不低于2</w:t>
                  </w:r>
                  <w:r>
                    <w:rPr>
                      <w:rFonts w:ascii="仿宋_GB2312" w:hAnsi="仿宋_GB2312" w:cs="仿宋_GB2312" w:eastAsia="仿宋_GB2312"/>
                      <w:sz w:val="19"/>
                    </w:rPr>
                    <w:t xml:space="preserve"> </w:t>
                  </w:r>
                  <w:r>
                    <w:rPr>
                      <w:rFonts w:ascii="仿宋_GB2312" w:hAnsi="仿宋_GB2312" w:cs="仿宋_GB2312" w:eastAsia="仿宋_GB2312"/>
                      <w:sz w:val="21"/>
                    </w:rPr>
                    <w:t>个，具有</w:t>
                  </w:r>
                  <w:r>
                    <w:rPr>
                      <w:rFonts w:ascii="仿宋_GB2312" w:hAnsi="仿宋_GB2312" w:cs="仿宋_GB2312" w:eastAsia="仿宋_GB2312"/>
                      <w:sz w:val="19"/>
                    </w:rPr>
                    <w:t xml:space="preserve"> </w:t>
                  </w:r>
                  <w:r>
                    <w:rPr>
                      <w:rFonts w:ascii="仿宋_GB2312" w:hAnsi="仿宋_GB2312" w:cs="仿宋_GB2312" w:eastAsia="仿宋_GB2312"/>
                      <w:sz w:val="21"/>
                    </w:rPr>
                    <w:t>RJ45LAN</w:t>
                  </w:r>
                  <w:r>
                    <w:rPr>
                      <w:rFonts w:ascii="仿宋_GB2312" w:hAnsi="仿宋_GB2312" w:cs="仿宋_GB2312" w:eastAsia="仿宋_GB2312"/>
                      <w:sz w:val="19"/>
                    </w:rPr>
                    <w:t xml:space="preserve"> </w:t>
                  </w:r>
                  <w:r>
                    <w:rPr>
                      <w:rFonts w:ascii="仿宋_GB2312" w:hAnsi="仿宋_GB2312" w:cs="仿宋_GB2312" w:eastAsia="仿宋_GB2312"/>
                      <w:sz w:val="21"/>
                    </w:rPr>
                    <w:t>口；</w:t>
                  </w:r>
                </w:p>
                <w:p>
                  <w:pPr>
                    <w:pStyle w:val="null3"/>
                    <w:ind w:left="15"/>
                    <w:jc w:val="both"/>
                  </w:pPr>
                  <w:r>
                    <w:rPr>
                      <w:rFonts w:ascii="仿宋_GB2312" w:hAnsi="仿宋_GB2312" w:cs="仿宋_GB2312" w:eastAsia="仿宋_GB2312"/>
                      <w:sz w:val="21"/>
                    </w:rPr>
                    <w:t>8.操作系统Android7或以上。</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r>
            <w:tr>
              <w:tc>
                <w:tcPr>
                  <w:tcW w:type="dxa" w:w="486"/>
                  <w:vMerge/>
                  <w:tcBorders>
                    <w:top w:val="none" w:color="000000" w:sz="4"/>
                    <w:left w:val="singl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产品扫码设备</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30"/>
                    <w:jc w:val="both"/>
                  </w:pPr>
                  <w:r>
                    <w:rPr>
                      <w:rFonts w:ascii="仿宋_GB2312" w:hAnsi="仿宋_GB2312" w:cs="仿宋_GB2312" w:eastAsia="仿宋_GB2312"/>
                      <w:sz w:val="21"/>
                    </w:rPr>
                    <w:t>1.设备像素</w:t>
                  </w:r>
                  <w:r>
                    <w:rPr>
                      <w:rFonts w:ascii="仿宋_GB2312" w:hAnsi="仿宋_GB2312" w:cs="仿宋_GB2312" w:eastAsia="仿宋_GB2312"/>
                      <w:sz w:val="19"/>
                    </w:rPr>
                    <w:t xml:space="preserve"> </w:t>
                  </w:r>
                  <w:r>
                    <w:rPr>
                      <w:rFonts w:ascii="仿宋_GB2312" w:hAnsi="仿宋_GB2312" w:cs="仿宋_GB2312" w:eastAsia="仿宋_GB2312"/>
                      <w:sz w:val="21"/>
                    </w:rPr>
                    <w:t>≥640*480；</w:t>
                  </w:r>
                </w:p>
                <w:p>
                  <w:pPr>
                    <w:pStyle w:val="null3"/>
                    <w:ind w:left="30"/>
                    <w:jc w:val="both"/>
                  </w:pPr>
                  <w:r>
                    <w:rPr>
                      <w:rFonts w:ascii="仿宋_GB2312" w:hAnsi="仿宋_GB2312" w:cs="仿宋_GB2312" w:eastAsia="仿宋_GB2312"/>
                      <w:sz w:val="21"/>
                    </w:rPr>
                    <w:t>2.支持照明、对焦；</w:t>
                  </w:r>
                </w:p>
                <w:p>
                  <w:pPr>
                    <w:pStyle w:val="null3"/>
                    <w:ind w:left="30"/>
                    <w:jc w:val="both"/>
                  </w:pPr>
                  <w:r>
                    <w:rPr>
                      <w:rFonts w:ascii="仿宋_GB2312" w:hAnsi="仿宋_GB2312" w:cs="仿宋_GB2312" w:eastAsia="仿宋_GB2312"/>
                      <w:sz w:val="21"/>
                    </w:rPr>
                    <w:t>3.识读码制支持条形码和二维码；</w:t>
                  </w:r>
                </w:p>
                <w:p>
                  <w:pPr>
                    <w:pStyle w:val="null3"/>
                    <w:ind w:left="15"/>
                    <w:jc w:val="both"/>
                  </w:pPr>
                  <w:r>
                    <w:rPr>
                      <w:rFonts w:ascii="仿宋_GB2312" w:hAnsi="仿宋_GB2312" w:cs="仿宋_GB2312" w:eastAsia="仿宋_GB2312"/>
                      <w:sz w:val="21"/>
                    </w:rPr>
                    <w:t>4.通讯接口支持 USB；</w:t>
                  </w:r>
                </w:p>
                <w:p>
                  <w:pPr>
                    <w:pStyle w:val="null3"/>
                    <w:ind w:left="30"/>
                    <w:jc w:val="both"/>
                  </w:pPr>
                  <w:r>
                    <w:rPr>
                      <w:rFonts w:ascii="仿宋_GB2312" w:hAnsi="仿宋_GB2312" w:cs="仿宋_GB2312" w:eastAsia="仿宋_GB2312"/>
                      <w:sz w:val="21"/>
                    </w:rPr>
                    <w:t>5.支持 Android 操作系统。</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r>
            <w:tr>
              <w:tc>
                <w:tcPr>
                  <w:tcW w:type="dxa" w:w="486"/>
                  <w:vMerge/>
                  <w:tcBorders>
                    <w:top w:val="none" w:color="000000" w:sz="4"/>
                    <w:left w:val="singl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身份数</w:t>
                  </w:r>
                </w:p>
                <w:p>
                  <w:pPr>
                    <w:pStyle w:val="null3"/>
                    <w:spacing w:before="45"/>
                    <w:ind w:left="345" w:right="60"/>
                    <w:jc w:val="center"/>
                  </w:pPr>
                  <w:r>
                    <w:rPr>
                      <w:rFonts w:ascii="仿宋_GB2312" w:hAnsi="仿宋_GB2312" w:cs="仿宋_GB2312" w:eastAsia="仿宋_GB2312"/>
                      <w:sz w:val="21"/>
                    </w:rPr>
                    <w:t>据读取</w:t>
                  </w:r>
                </w:p>
                <w:p>
                  <w:pPr>
                    <w:pStyle w:val="null3"/>
                    <w:spacing w:before="45"/>
                    <w:ind w:left="345" w:right="60"/>
                    <w:jc w:val="center"/>
                  </w:pPr>
                  <w:r>
                    <w:rPr>
                      <w:rFonts w:ascii="仿宋_GB2312" w:hAnsi="仿宋_GB2312" w:cs="仿宋_GB2312" w:eastAsia="仿宋_GB2312"/>
                      <w:sz w:val="21"/>
                    </w:rPr>
                    <w:t>设备</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30"/>
                    <w:jc w:val="both"/>
                  </w:pPr>
                  <w:r>
                    <w:rPr>
                      <w:rFonts w:ascii="仿宋_GB2312" w:hAnsi="仿宋_GB2312" w:cs="仿宋_GB2312" w:eastAsia="仿宋_GB2312"/>
                      <w:sz w:val="21"/>
                    </w:rPr>
                    <w:t>1.具备身份证读取功能；</w:t>
                  </w:r>
                </w:p>
                <w:p>
                  <w:pPr>
                    <w:pStyle w:val="null3"/>
                    <w:ind w:left="30" w:right="75"/>
                    <w:jc w:val="both"/>
                  </w:pPr>
                  <w:r>
                    <w:rPr>
                      <w:rFonts w:ascii="仿宋_GB2312" w:hAnsi="仿宋_GB2312" w:cs="仿宋_GB2312" w:eastAsia="仿宋_GB2312"/>
                      <w:sz w:val="21"/>
                    </w:rPr>
                    <w:t>2.具备农户在线建档及本地图像库采集比对功能，通过终端实现农户基础档案在线建档，并完成本地图像库及省级图像库的比对。</w:t>
                  </w:r>
                </w:p>
                <w:p>
                  <w:pPr>
                    <w:pStyle w:val="null3"/>
                    <w:ind w:left="30"/>
                    <w:jc w:val="both"/>
                  </w:pPr>
                  <w:r>
                    <w:rPr>
                      <w:rFonts w:ascii="仿宋_GB2312" w:hAnsi="仿宋_GB2312" w:cs="仿宋_GB2312" w:eastAsia="仿宋_GB2312"/>
                      <w:sz w:val="21"/>
                    </w:rPr>
                    <w:t>3.设备阅读距离≥ 3cm；</w:t>
                  </w:r>
                </w:p>
                <w:p>
                  <w:pPr>
                    <w:pStyle w:val="null3"/>
                    <w:ind w:left="15"/>
                    <w:jc w:val="both"/>
                  </w:pPr>
                  <w:r>
                    <w:rPr>
                      <w:rFonts w:ascii="仿宋_GB2312" w:hAnsi="仿宋_GB2312" w:cs="仿宋_GB2312" w:eastAsia="仿宋_GB2312"/>
                      <w:sz w:val="21"/>
                    </w:rPr>
                    <w:t>4.接口支持 USB；</w:t>
                  </w:r>
                </w:p>
                <w:p>
                  <w:pPr>
                    <w:pStyle w:val="null3"/>
                    <w:ind w:left="30"/>
                    <w:jc w:val="both"/>
                  </w:pPr>
                  <w:r>
                    <w:rPr>
                      <w:rFonts w:ascii="仿宋_GB2312" w:hAnsi="仿宋_GB2312" w:cs="仿宋_GB2312" w:eastAsia="仿宋_GB2312"/>
                      <w:sz w:val="21"/>
                    </w:rPr>
                    <w:t>5.支持 0TG</w:t>
                  </w:r>
                  <w:r>
                    <w:rPr>
                      <w:rFonts w:ascii="仿宋_GB2312" w:hAnsi="仿宋_GB2312" w:cs="仿宋_GB2312" w:eastAsia="仿宋_GB2312"/>
                      <w:sz w:val="19"/>
                    </w:rPr>
                    <w:t xml:space="preserve"> </w:t>
                  </w:r>
                  <w:r>
                    <w:rPr>
                      <w:rFonts w:ascii="仿宋_GB2312" w:hAnsi="仿宋_GB2312" w:cs="仿宋_GB2312" w:eastAsia="仿宋_GB2312"/>
                      <w:sz w:val="21"/>
                    </w:rPr>
                    <w:t>即插即用。</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r>
            <w:tr>
              <w:tc>
                <w:tcPr>
                  <w:tcW w:type="dxa" w:w="486"/>
                  <w:vMerge/>
                  <w:tcBorders>
                    <w:top w:val="none" w:color="000000" w:sz="4"/>
                    <w:left w:val="singl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40"/>
                    <w:ind w:left="75"/>
                    <w:jc w:val="both"/>
                  </w:pPr>
                  <w:r>
                    <w:rPr>
                      <w:rFonts w:ascii="仿宋_GB2312" w:hAnsi="仿宋_GB2312" w:cs="仿宋_GB2312" w:eastAsia="仿宋_GB2312"/>
                      <w:sz w:val="21"/>
                    </w:rPr>
                    <w:t>票据打印设备</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30"/>
                    <w:jc w:val="both"/>
                  </w:pPr>
                  <w:r>
                    <w:rPr>
                      <w:rFonts w:ascii="仿宋_GB2312" w:hAnsi="仿宋_GB2312" w:cs="仿宋_GB2312" w:eastAsia="仿宋_GB2312"/>
                      <w:sz w:val="21"/>
                    </w:rPr>
                    <w:t>1.热敏打印机；</w:t>
                  </w:r>
                </w:p>
                <w:p>
                  <w:pPr>
                    <w:pStyle w:val="null3"/>
                    <w:ind w:left="30"/>
                    <w:jc w:val="both"/>
                  </w:pPr>
                  <w:r>
                    <w:rPr>
                      <w:rFonts w:ascii="仿宋_GB2312" w:hAnsi="仿宋_GB2312" w:cs="仿宋_GB2312" w:eastAsia="仿宋_GB2312"/>
                      <w:sz w:val="21"/>
                    </w:rPr>
                    <w:t>2.接口类型支持 USB；</w:t>
                  </w:r>
                </w:p>
                <w:p>
                  <w:pPr>
                    <w:pStyle w:val="null3"/>
                    <w:ind w:left="30"/>
                    <w:jc w:val="both"/>
                  </w:pPr>
                  <w:r>
                    <w:rPr>
                      <w:rFonts w:ascii="仿宋_GB2312" w:hAnsi="仿宋_GB2312" w:cs="仿宋_GB2312" w:eastAsia="仿宋_GB2312"/>
                      <w:sz w:val="21"/>
                    </w:rPr>
                    <w:t>3.支持常规的小票打印纸规格。</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40"/>
                    <w:ind w:left="270"/>
                    <w:jc w:val="center"/>
                  </w:pPr>
                  <w:r>
                    <w:rPr>
                      <w:rFonts w:ascii="仿宋_GB2312" w:hAnsi="仿宋_GB2312" w:cs="仿宋_GB2312" w:eastAsia="仿宋_GB2312"/>
                      <w:sz w:val="21"/>
                    </w:rPr>
                    <w:t>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240"/>
                    <w:ind w:left="240"/>
                    <w:jc w:val="center"/>
                  </w:pPr>
                  <w:r>
                    <w:rPr>
                      <w:rFonts w:ascii="仿宋_GB2312" w:hAnsi="仿宋_GB2312" w:cs="仿宋_GB2312" w:eastAsia="仿宋_GB2312"/>
                      <w:sz w:val="21"/>
                    </w:rPr>
                    <w:t>152</w:t>
                  </w:r>
                </w:p>
              </w:tc>
            </w:tr>
            <w:tr>
              <w:tc>
                <w:tcPr>
                  <w:tcW w:type="dxa" w:w="486"/>
                  <w:vMerge/>
                  <w:tcBorders>
                    <w:top w:val="none" w:color="000000" w:sz="4"/>
                    <w:left w:val="singl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人像采集设备</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30"/>
                    <w:jc w:val="both"/>
                  </w:pPr>
                  <w:r>
                    <w:rPr>
                      <w:rFonts w:ascii="仿宋_GB2312" w:hAnsi="仿宋_GB2312" w:cs="仿宋_GB2312" w:eastAsia="仿宋_GB2312"/>
                      <w:sz w:val="21"/>
                    </w:rPr>
                    <w:t>1.具备人脸捕捉功能；</w:t>
                  </w:r>
                </w:p>
                <w:p>
                  <w:pPr>
                    <w:pStyle w:val="null3"/>
                    <w:ind w:left="30"/>
                    <w:jc w:val="both"/>
                  </w:pPr>
                  <w:r>
                    <w:rPr>
                      <w:rFonts w:ascii="仿宋_GB2312" w:hAnsi="仿宋_GB2312" w:cs="仿宋_GB2312" w:eastAsia="仿宋_GB2312"/>
                      <w:sz w:val="21"/>
                    </w:rPr>
                    <w:t>2.分辨率≥720p/30fps；</w:t>
                  </w:r>
                </w:p>
                <w:p>
                  <w:pPr>
                    <w:pStyle w:val="null3"/>
                    <w:spacing w:before="15"/>
                    <w:ind w:left="30"/>
                    <w:jc w:val="both"/>
                  </w:pPr>
                  <w:r>
                    <w:rPr>
                      <w:rFonts w:ascii="仿宋_GB2312" w:hAnsi="仿宋_GB2312" w:cs="仿宋_GB2312" w:eastAsia="仿宋_GB2312"/>
                      <w:sz w:val="21"/>
                    </w:rPr>
                    <w:t>3.支持自动对焦；</w:t>
                  </w:r>
                </w:p>
                <w:p>
                  <w:pPr>
                    <w:pStyle w:val="null3"/>
                    <w:ind w:left="15"/>
                    <w:jc w:val="both"/>
                  </w:pPr>
                  <w:r>
                    <w:rPr>
                      <w:rFonts w:ascii="仿宋_GB2312" w:hAnsi="仿宋_GB2312" w:cs="仿宋_GB2312" w:eastAsia="仿宋_GB2312"/>
                      <w:sz w:val="21"/>
                    </w:rPr>
                    <w:t>4.支持 Android 操作系统。</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r>
            <w:tr>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2、农资监管平台接入服务</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平台应用功能</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left="30" w:right="75" w:firstLine="270"/>
                    <w:jc w:val="both"/>
                  </w:pPr>
                  <w:r>
                    <w:rPr>
                      <w:rFonts w:ascii="仿宋_GB2312" w:hAnsi="仿宋_GB2312" w:cs="仿宋_GB2312" w:eastAsia="仿宋_GB2312"/>
                      <w:sz w:val="21"/>
                    </w:rPr>
                    <w:t>具备农资扫码出入库、农资销售实时登记、农资实时备案、农户实名制匹配建档、农药处方在线开具、挂账、退换货等功能。管理系统应具备各类报表汇总、查看功能，包括且不限于库存信息、出入库信息、建档人员信息</w:t>
                  </w:r>
                  <w:r>
                    <w:rPr>
                      <w:rFonts w:ascii="仿宋_GB2312" w:hAnsi="仿宋_GB2312" w:cs="仿宋_GB2312" w:eastAsia="仿宋_GB2312"/>
                      <w:sz w:val="21"/>
                    </w:rPr>
                    <w:t>、订单总量、销售额、农资登记总量等。</w:t>
                  </w:r>
                </w:p>
                <w:p>
                  <w:pPr>
                    <w:pStyle w:val="null3"/>
                    <w:ind w:left="30" w:right="75" w:firstLine="268"/>
                    <w:jc w:val="both"/>
                  </w:pPr>
                  <w:r>
                    <w:rPr>
                      <w:rFonts w:ascii="仿宋_GB2312" w:hAnsi="仿宋_GB2312" w:cs="仿宋_GB2312" w:eastAsia="仿宋_GB2312"/>
                      <w:sz w:val="21"/>
                    </w:rPr>
                    <w:t>设备应具备与省级平台互联互通能力，能实现农户人像档案库自动在线识别分析、农资入库与登记备案库实时在线比对等功能，具备数据对外共享报送能力。支持与手机端的应用的互联互通，通过手机端进行产品出入库、农资销售实时登记等数据实现与智能终端设备的实时共享。</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86"/>
                  <w:vMerge/>
                  <w:tcBorders>
                    <w:top w:val="none" w:color="000000" w:sz="4"/>
                    <w:left w:val="singl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数据接入服务</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left="30" w:right="285" w:firstLine="3"/>
                    <w:jc w:val="both"/>
                  </w:pPr>
                  <w:r>
                    <w:rPr>
                      <w:rFonts w:ascii="仿宋_GB2312" w:hAnsi="仿宋_GB2312" w:cs="仿宋_GB2312" w:eastAsia="仿宋_GB2312"/>
                      <w:sz w:val="21"/>
                    </w:rPr>
                    <w:t>1.基础信息：店铺名称，经营种类(种子、农药、化肥、农资),门店负责人，门店电话，门店坐标，设备名称，设备类型，设备品牌。</w:t>
                  </w:r>
                </w:p>
                <w:p>
                  <w:pPr>
                    <w:pStyle w:val="null3"/>
                    <w:ind w:left="30"/>
                    <w:jc w:val="both"/>
                  </w:pPr>
                  <w:r>
                    <w:rPr>
                      <w:rFonts w:ascii="仿宋_GB2312" w:hAnsi="仿宋_GB2312" w:cs="仿宋_GB2312" w:eastAsia="仿宋_GB2312"/>
                      <w:sz w:val="21"/>
                    </w:rPr>
                    <w:t>2.出入库信息：种子、化肥、饲料、农、兽药。</w:t>
                  </w:r>
                </w:p>
                <w:p>
                  <w:pPr>
                    <w:pStyle w:val="null3"/>
                    <w:ind w:left="30" w:right="75"/>
                    <w:jc w:val="both"/>
                  </w:pPr>
                  <w:r>
                    <w:rPr>
                      <w:rFonts w:ascii="仿宋_GB2312" w:hAnsi="仿宋_GB2312" w:cs="仿宋_GB2312" w:eastAsia="仿宋_GB2312"/>
                      <w:sz w:val="21"/>
                    </w:rPr>
                    <w:t>3.用户档案信息：农户名称，身份证，手机号码，地址，创建时间，购买记录。</w:t>
                  </w:r>
                </w:p>
                <w:p>
                  <w:pPr>
                    <w:pStyle w:val="null3"/>
                    <w:ind w:left="30" w:right="75"/>
                    <w:jc w:val="both"/>
                  </w:pPr>
                  <w:r>
                    <w:rPr>
                      <w:rFonts w:ascii="仿宋_GB2312" w:hAnsi="仿宋_GB2312" w:cs="仿宋_GB2312" w:eastAsia="仿宋_GB2312"/>
                      <w:sz w:val="21"/>
                    </w:rPr>
                    <w:t>4.销售信息：订单号，商品编号，商品数量，商品单价，销售总价，购买人姓名，购买人电话，订单时间，处方记录，规格。</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3、安装部署与网络调试及售后服务</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项目培训服务</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ind w:left="30" w:right="150"/>
                    <w:jc w:val="both"/>
                  </w:pPr>
                  <w:r>
                    <w:rPr>
                      <w:rFonts w:ascii="仿宋_GB2312" w:hAnsi="仿宋_GB2312" w:cs="仿宋_GB2312" w:eastAsia="仿宋_GB2312"/>
                      <w:sz w:val="21"/>
                    </w:rPr>
                    <w:t>（</w:t>
                  </w:r>
                  <w:r>
                    <w:rPr>
                      <w:rFonts w:ascii="仿宋_GB2312" w:hAnsi="仿宋_GB2312" w:cs="仿宋_GB2312" w:eastAsia="仿宋_GB2312"/>
                      <w:sz w:val="21"/>
                    </w:rPr>
                    <w:t>1）供应商应制定详尽的培训方案，明确培训目标、</w:t>
                  </w:r>
                  <w:r>
                    <w:rPr>
                      <w:rFonts w:ascii="仿宋_GB2312" w:hAnsi="仿宋_GB2312" w:cs="仿宋_GB2312" w:eastAsia="仿宋_GB2312"/>
                      <w:sz w:val="19"/>
                    </w:rPr>
                    <w:t xml:space="preserve"> </w:t>
                  </w:r>
                  <w:r>
                    <w:rPr>
                      <w:rFonts w:ascii="仿宋_GB2312" w:hAnsi="仿宋_GB2312" w:cs="仿宋_GB2312" w:eastAsia="仿宋_GB2312"/>
                      <w:sz w:val="21"/>
                    </w:rPr>
                    <w:t>内容、方式等培训所需各类资源。</w:t>
                  </w:r>
                </w:p>
                <w:p>
                  <w:pPr>
                    <w:pStyle w:val="null3"/>
                    <w:ind w:left="30" w:right="150"/>
                    <w:jc w:val="both"/>
                  </w:pPr>
                  <w:r>
                    <w:rPr>
                      <w:rFonts w:ascii="仿宋_GB2312" w:hAnsi="仿宋_GB2312" w:cs="仿宋_GB2312" w:eastAsia="仿宋_GB2312"/>
                      <w:sz w:val="21"/>
                    </w:rPr>
                    <w:t>（</w:t>
                  </w:r>
                  <w:r>
                    <w:rPr>
                      <w:rFonts w:ascii="仿宋_GB2312" w:hAnsi="仿宋_GB2312" w:cs="仿宋_GB2312" w:eastAsia="仿宋_GB2312"/>
                      <w:sz w:val="21"/>
                    </w:rPr>
                    <w:t>2）供应商须选派具有一定资质和实践经验，且受过专门训练的专业技术人员负责技术培训工作。</w:t>
                  </w:r>
                </w:p>
                <w:p>
                  <w:pPr>
                    <w:pStyle w:val="null3"/>
                    <w:ind w:left="30" w:right="105" w:firstLine="2"/>
                    <w:jc w:val="both"/>
                  </w:pPr>
                  <w:r>
                    <w:rPr>
                      <w:rFonts w:ascii="仿宋_GB2312" w:hAnsi="仿宋_GB2312" w:cs="仿宋_GB2312" w:eastAsia="仿宋_GB2312"/>
                      <w:sz w:val="21"/>
                    </w:rPr>
                    <w:t>（</w:t>
                  </w:r>
                  <w:r>
                    <w:rPr>
                      <w:rFonts w:ascii="仿宋_GB2312" w:hAnsi="仿宋_GB2312" w:cs="仿宋_GB2312" w:eastAsia="仿宋_GB2312"/>
                      <w:sz w:val="21"/>
                    </w:rPr>
                    <w:t>3）供应商的培训内容包括基本理论和现场操作辅导，培训方式包括技术讲课、操作示范和技术咨询等，确保培训人员对系统基本理论、操作规范、管理维护等方面获得全面了解和掌握。</w:t>
                  </w:r>
                </w:p>
                <w:p>
                  <w:pPr>
                    <w:pStyle w:val="null3"/>
                    <w:ind w:left="30"/>
                    <w:jc w:val="both"/>
                  </w:pPr>
                  <w:r>
                    <w:rPr>
                      <w:rFonts w:ascii="仿宋_GB2312" w:hAnsi="仿宋_GB2312" w:cs="仿宋_GB2312" w:eastAsia="仿宋_GB2312"/>
                      <w:sz w:val="21"/>
                    </w:rPr>
                    <w:t>（</w:t>
                  </w:r>
                  <w:r>
                    <w:rPr>
                      <w:rFonts w:ascii="仿宋_GB2312" w:hAnsi="仿宋_GB2312" w:cs="仿宋_GB2312" w:eastAsia="仿宋_GB2312"/>
                      <w:sz w:val="21"/>
                    </w:rPr>
                    <w:t>4）项目培训采取集中培训和现场培训相结合的方式。</w:t>
                  </w:r>
                </w:p>
                <w:p>
                  <w:pPr>
                    <w:pStyle w:val="null3"/>
                    <w:ind w:left="30" w:right="150" w:firstLine="268"/>
                    <w:jc w:val="both"/>
                  </w:pPr>
                  <w:r>
                    <w:rPr>
                      <w:rFonts w:ascii="仿宋_GB2312" w:hAnsi="仿宋_GB2312" w:cs="仿宋_GB2312" w:eastAsia="仿宋_GB2312"/>
                      <w:sz w:val="21"/>
                    </w:rPr>
                    <w:t>集中培训。在完成整体调试后</w:t>
                  </w:r>
                  <w:r>
                    <w:rPr>
                      <w:rFonts w:ascii="仿宋_GB2312" w:hAnsi="仿宋_GB2312" w:cs="仿宋_GB2312" w:eastAsia="仿宋_GB2312"/>
                      <w:sz w:val="21"/>
                    </w:rPr>
                    <w:t>,</w:t>
                  </w:r>
                  <w:r>
                    <w:rPr>
                      <w:rFonts w:ascii="仿宋_GB2312" w:hAnsi="仿宋_GB2312" w:cs="仿宋_GB2312" w:eastAsia="仿宋_GB2312"/>
                      <w:sz w:val="19"/>
                    </w:rPr>
                    <w:t xml:space="preserve"> </w:t>
                  </w:r>
                  <w:r>
                    <w:rPr>
                      <w:rFonts w:ascii="仿宋_GB2312" w:hAnsi="仿宋_GB2312" w:cs="仿宋_GB2312" w:eastAsia="仿宋_GB2312"/>
                      <w:sz w:val="21"/>
                    </w:rPr>
                    <w:t>由项目供应商负责组织针对使用系统的行业主管单位用户，集中进行使用培训和安全知识培训工作。</w:t>
                  </w:r>
                </w:p>
                <w:p>
                  <w:pPr>
                    <w:pStyle w:val="null3"/>
                    <w:ind w:left="30" w:right="75" w:firstLine="265"/>
                    <w:jc w:val="both"/>
                  </w:pPr>
                  <w:r>
                    <w:rPr>
                      <w:rFonts w:ascii="仿宋_GB2312" w:hAnsi="仿宋_GB2312" w:cs="仿宋_GB2312" w:eastAsia="仿宋_GB2312"/>
                      <w:sz w:val="21"/>
                    </w:rPr>
                    <w:t>现场培训。现场培训针对农资门店从业人员，</w:t>
                  </w:r>
                  <w:r>
                    <w:rPr>
                      <w:rFonts w:ascii="仿宋_GB2312" w:hAnsi="仿宋_GB2312" w:cs="仿宋_GB2312" w:eastAsia="仿宋_GB2312"/>
                      <w:sz w:val="19"/>
                    </w:rPr>
                    <w:t xml:space="preserve"> </w:t>
                  </w:r>
                  <w:r>
                    <w:rPr>
                      <w:rFonts w:ascii="仿宋_GB2312" w:hAnsi="仿宋_GB2312" w:cs="仿宋_GB2312" w:eastAsia="仿宋_GB2312"/>
                      <w:sz w:val="21"/>
                    </w:rPr>
                    <w:t>由供应商在门店设备调试完成的同时，开展现场设备操作及软件平台使用培训工作。</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86"/>
                  <w:vMerge/>
                  <w:tcBorders>
                    <w:top w:val="none" w:color="000000" w:sz="4"/>
                    <w:left w:val="singl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开展智能终端</w:t>
                  </w:r>
                </w:p>
                <w:p>
                  <w:pPr>
                    <w:pStyle w:val="null3"/>
                    <w:ind w:left="90"/>
                    <w:jc w:val="both"/>
                  </w:pPr>
                  <w:r>
                    <w:rPr>
                      <w:rFonts w:ascii="仿宋_GB2312" w:hAnsi="仿宋_GB2312" w:cs="仿宋_GB2312" w:eastAsia="仿宋_GB2312"/>
                      <w:sz w:val="21"/>
                    </w:rPr>
                    <w:t>的安装部署与</w:t>
                  </w:r>
                </w:p>
                <w:p>
                  <w:pPr>
                    <w:pStyle w:val="null3"/>
                    <w:ind w:left="90"/>
                    <w:jc w:val="both"/>
                  </w:pPr>
                  <w:r>
                    <w:rPr>
                      <w:rFonts w:ascii="仿宋_GB2312" w:hAnsi="仿宋_GB2312" w:cs="仿宋_GB2312" w:eastAsia="仿宋_GB2312"/>
                      <w:sz w:val="21"/>
                    </w:rPr>
                    <w:t>网络调试，保</w:t>
                  </w:r>
                </w:p>
                <w:p>
                  <w:pPr>
                    <w:pStyle w:val="null3"/>
                    <w:ind w:left="90"/>
                    <w:jc w:val="both"/>
                  </w:pPr>
                  <w:r>
                    <w:rPr>
                      <w:rFonts w:ascii="仿宋_GB2312" w:hAnsi="仿宋_GB2312" w:cs="仿宋_GB2312" w:eastAsia="仿宋_GB2312"/>
                      <w:sz w:val="21"/>
                    </w:rPr>
                    <w:t>障农业投入品</w:t>
                  </w:r>
                </w:p>
                <w:p>
                  <w:pPr>
                    <w:pStyle w:val="null3"/>
                    <w:ind w:left="75"/>
                    <w:jc w:val="both"/>
                  </w:pPr>
                  <w:r>
                    <w:rPr>
                      <w:rFonts w:ascii="仿宋_GB2312" w:hAnsi="仿宋_GB2312" w:cs="仿宋_GB2312" w:eastAsia="仿宋_GB2312"/>
                      <w:sz w:val="21"/>
                    </w:rPr>
                    <w:t>系统的落地应</w:t>
                  </w:r>
                </w:p>
                <w:p>
                  <w:pPr>
                    <w:pStyle w:val="null3"/>
                    <w:ind w:left="345"/>
                    <w:jc w:val="both"/>
                  </w:pPr>
                  <w:r>
                    <w:rPr>
                      <w:rFonts w:ascii="仿宋_GB2312" w:hAnsi="仿宋_GB2312" w:cs="仿宋_GB2312" w:eastAsia="仿宋_GB2312"/>
                      <w:sz w:val="21"/>
                    </w:rPr>
                    <w:t>用；</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80"/>
                    <w:ind w:left="30"/>
                    <w:jc w:val="both"/>
                  </w:pPr>
                  <w:r>
                    <w:rPr>
                      <w:rFonts w:ascii="仿宋_GB2312" w:hAnsi="仿宋_GB2312" w:cs="仿宋_GB2312" w:eastAsia="仿宋_GB2312"/>
                      <w:sz w:val="21"/>
                    </w:rPr>
                    <w:t>（</w:t>
                  </w:r>
                  <w:r>
                    <w:rPr>
                      <w:rFonts w:ascii="仿宋_GB2312" w:hAnsi="仿宋_GB2312" w:cs="仿宋_GB2312" w:eastAsia="仿宋_GB2312"/>
                      <w:sz w:val="21"/>
                    </w:rPr>
                    <w:t>1）提供质保期3年的免费售后服务，质保期自项目验收合格之日起计算。</w:t>
                  </w:r>
                </w:p>
                <w:p>
                  <w:pPr>
                    <w:pStyle w:val="null3"/>
                    <w:ind w:left="30" w:right="75" w:firstLine="1"/>
                    <w:jc w:val="both"/>
                  </w:pPr>
                  <w:r>
                    <w:rPr>
                      <w:rFonts w:ascii="仿宋_GB2312" w:hAnsi="仿宋_GB2312" w:cs="仿宋_GB2312" w:eastAsia="仿宋_GB2312"/>
                      <w:sz w:val="21"/>
                    </w:rPr>
                    <w:t>（</w:t>
                  </w:r>
                  <w:r>
                    <w:rPr>
                      <w:rFonts w:ascii="仿宋_GB2312" w:hAnsi="仿宋_GB2312" w:cs="仿宋_GB2312" w:eastAsia="仿宋_GB2312"/>
                      <w:sz w:val="21"/>
                    </w:rPr>
                    <w:t>2）建立有效的运维保障机制和应急响应机制，保证设备出现故障后2小时内能做出反应，简单故障24小时之内解决并恢复；复杂问题 48小时之内解决并恢复。</w:t>
                  </w:r>
                </w:p>
                <w:p>
                  <w:pPr>
                    <w:pStyle w:val="null3"/>
                    <w:ind w:left="30" w:right="150" w:firstLine="1"/>
                    <w:jc w:val="both"/>
                  </w:pPr>
                  <w:r>
                    <w:rPr>
                      <w:rFonts w:ascii="仿宋_GB2312" w:hAnsi="仿宋_GB2312" w:cs="仿宋_GB2312" w:eastAsia="仿宋_GB2312"/>
                      <w:sz w:val="21"/>
                    </w:rPr>
                    <w:t>（</w:t>
                  </w:r>
                  <w:r>
                    <w:rPr>
                      <w:rFonts w:ascii="仿宋_GB2312" w:hAnsi="仿宋_GB2312" w:cs="仿宋_GB2312" w:eastAsia="仿宋_GB2312"/>
                      <w:sz w:val="21"/>
                    </w:rPr>
                    <w:t>3）质保期内定期派专业维修人员到现场走访，给予检查维护巡检服务以便保证设备正常稳定运行。</w:t>
                  </w:r>
                </w:p>
                <w:p>
                  <w:pPr>
                    <w:pStyle w:val="null3"/>
                    <w:ind w:left="30" w:right="75" w:firstLine="1"/>
                    <w:jc w:val="both"/>
                  </w:pPr>
                  <w:r>
                    <w:rPr>
                      <w:rFonts w:ascii="仿宋_GB2312" w:hAnsi="仿宋_GB2312" w:cs="仿宋_GB2312" w:eastAsia="仿宋_GB2312"/>
                      <w:sz w:val="21"/>
                    </w:rPr>
                    <w:t>（</w:t>
                  </w:r>
                  <w:r>
                    <w:rPr>
                      <w:rFonts w:ascii="仿宋_GB2312" w:hAnsi="仿宋_GB2312" w:cs="仿宋_GB2312" w:eastAsia="仿宋_GB2312"/>
                      <w:sz w:val="21"/>
                    </w:rPr>
                    <w:t>4）后期维护。项目实施完成验收后三年内，设备及系统发生故障、或因其他原因需要对设备进行迁移，</w:t>
                  </w:r>
                  <w:r>
                    <w:rPr>
                      <w:rFonts w:ascii="仿宋_GB2312" w:hAnsi="仿宋_GB2312" w:cs="仿宋_GB2312" w:eastAsia="仿宋_GB2312"/>
                      <w:sz w:val="19"/>
                    </w:rPr>
                    <w:t xml:space="preserve"> </w:t>
                  </w:r>
                  <w:r>
                    <w:rPr>
                      <w:rFonts w:ascii="仿宋_GB2312" w:hAnsi="仿宋_GB2312" w:cs="仿宋_GB2312" w:eastAsia="仿宋_GB2312"/>
                      <w:sz w:val="21"/>
                    </w:rPr>
                    <w:t>由安装单位负责进行维修、迁移等工作，确保设备正常高效运转。</w:t>
                  </w:r>
                </w:p>
                <w:p>
                  <w:pPr>
                    <w:pStyle w:val="null3"/>
                    <w:ind w:left="30" w:right="150"/>
                    <w:jc w:val="both"/>
                  </w:pPr>
                  <w:r>
                    <w:rPr>
                      <w:rFonts w:ascii="仿宋_GB2312" w:hAnsi="仿宋_GB2312" w:cs="仿宋_GB2312" w:eastAsia="仿宋_GB2312"/>
                      <w:sz w:val="21"/>
                    </w:rPr>
                    <w:t>（</w:t>
                  </w:r>
                  <w:r>
                    <w:rPr>
                      <w:rFonts w:ascii="仿宋_GB2312" w:hAnsi="仿宋_GB2312" w:cs="仿宋_GB2312" w:eastAsia="仿宋_GB2312"/>
                      <w:sz w:val="21"/>
                    </w:rPr>
                    <w:t>5）农资门店智能终端安装部署陕西省农业投入品监管系统，系统永久免费使用，</w:t>
                  </w:r>
                  <w:r>
                    <w:rPr>
                      <w:rFonts w:ascii="仿宋_GB2312" w:hAnsi="仿宋_GB2312" w:cs="仿宋_GB2312" w:eastAsia="仿宋_GB2312"/>
                      <w:sz w:val="19"/>
                    </w:rPr>
                    <w:t xml:space="preserve"> </w:t>
                  </w:r>
                  <w:r>
                    <w:rPr>
                      <w:rFonts w:ascii="仿宋_GB2312" w:hAnsi="仿宋_GB2312" w:cs="仿宋_GB2312" w:eastAsia="仿宋_GB2312"/>
                      <w:sz w:val="21"/>
                    </w:rPr>
                    <w:t>同时伴随陕西省农业投入监管系统的升级进行同步升级。</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交货期要求：合同签订后60日内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按采购文件、响应文件及澄清函等技术指标进行验收。各项指标均应符合验收标准及要求。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未按合同或招标文件要求提供的产品或者服务，质量不能满足采购人技术要求，采购单位有权终止合同，甚至对供应商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（2）、供应商应具备良好的商业信誉，提供参加政府采购活动前3年内在经营活动中没有重大违法记录的书面声明； （3）、财务状况报告：供应商提供2023或2024年的财务审计报告（至少包括资产负债表和利润表，成立时间至提交响应文件截止时间不足一年的可提供成立后任意时段的资产负债表），或其开标前六个月内银行开具的资信证明； （4）、社会保障资金缴纳证明：供应商提供已缴存的2024年12月至今任意一个月的社会保障资金缴存单据或社保机构开具的社会保险参保缴费情况证明，单据或证明上应有社保机构或代收机构的公章。依法不需要缴纳社会保障资金的供应商应提供相关文件证明； （5）、税收缴纳证明：供应商提供已缴纳的2024年12月至今任意一个月的纳税证明或完税证明，纳税证明或完税证明上应有代收机构或税务机关的公章。依法免税的供应商应提供相关文件证明； （6）、供应商不得为“信用中国(www.creditchina.gov.cn)”中列入失信被执行人和重大税收违法案件当事人名单的供应商，不得为“中国政府采购网(www.ccgp.gov.cn)”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 （7）、具备履行合同所必需的设备和专业技术能力的证明材料（书面声明）；供应商需在项目电子化交易系统中按要求填写《投标函》完成承诺并进行电子签章。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中小企业声明函 业绩 商务应答表 保证金缴纳凭证 报价表 其他证明资料 响应文件封面 资格证明文件 残疾人福利性单位声明函 服务方案 标的清单 响应函 监狱企业的证明文件 分项报价清单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法定代表人直接参加磋商的，须出具法人身份证明及身份证复印件；法定代表人授权代表参加磋商的，须出具法定代表人授权书及授权代表身份证复印件；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响应文件按竞争性磋商文件要求签署、盖章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磋商报价未高于最高限价</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供应商所投产品技术参数清楚、明确并能逐条响应并满足采购文件参数表中所有参数要求，得20分。 技术参数负偏离一项扣1分。 在技术规格响应表“备注”栏中标明证明材料的页码。（备注：证明材料包含但不限于技术白皮书、官网功能截图、产品彩页、产品技术说明、相关检测报告等资料任意一种。）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项目团队人员安排及责任制度及进度保障措施</w:t>
            </w:r>
          </w:p>
        </w:tc>
        <w:tc>
          <w:tcPr>
            <w:tcW w:type="dxa" w:w="2492"/>
          </w:tcPr>
          <w:p>
            <w:pPr>
              <w:pStyle w:val="null3"/>
            </w:pPr>
            <w:r>
              <w:rPr>
                <w:rFonts w:ascii="仿宋_GB2312" w:hAnsi="仿宋_GB2312" w:cs="仿宋_GB2312" w:eastAsia="仿宋_GB2312"/>
              </w:rPr>
              <w:t>包含但不限于： （1）备货、供货进度及保证措施； （2）项目团队人员安排及责任制度； ①内容详细全面、层次清楚、完善可行的计5分； ②内容包含全面，但未针对各项内容进行详细描述的计3分； ③针对以上方案要求，有1项欠缺或无欠缺仅有粗略框架，无具体针对性内容的计2分；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 （1）备货、供货进度及保证措施； （2）项目验收方案； （3）应急处理措施。 ①内容详细全面、层次清楚、完善可行的计5分； ②实施方案内容包含全面，但未针对各项内容进行详细描述的计3分；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故障处理方案</w:t>
            </w:r>
          </w:p>
        </w:tc>
        <w:tc>
          <w:tcPr>
            <w:tcW w:type="dxa" w:w="2492"/>
          </w:tcPr>
          <w:p>
            <w:pPr>
              <w:pStyle w:val="null3"/>
            </w:pPr>
            <w:r>
              <w:rPr>
                <w:rFonts w:ascii="仿宋_GB2312" w:hAnsi="仿宋_GB2312" w:cs="仿宋_GB2312" w:eastAsia="仿宋_GB2312"/>
              </w:rPr>
              <w:t>供应商针对本项目提供合理的故障处理方案： 1.方案逻辑层次清晰、针对性强、与采购内容吻合度高，实施性强、完全满足采购需求，得5分； 2.方案逻辑层次较清晰、针对性较强、与采购内容的吻合程度较高，实施性较强，满足采购需求，得3分； 3.方案逻辑层次基本清晰、针对性一般、与采购内容的吻合程度一般，实施性一般，基本满足采购需求，得2分；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定期巡检方案</w:t>
            </w:r>
          </w:p>
        </w:tc>
        <w:tc>
          <w:tcPr>
            <w:tcW w:type="dxa" w:w="2492"/>
          </w:tcPr>
          <w:p>
            <w:pPr>
              <w:pStyle w:val="null3"/>
            </w:pPr>
            <w:r>
              <w:rPr>
                <w:rFonts w:ascii="仿宋_GB2312" w:hAnsi="仿宋_GB2312" w:cs="仿宋_GB2312" w:eastAsia="仿宋_GB2312"/>
              </w:rPr>
              <w:t>针对本项目定期巡检有具体方案，； 1.方案逻辑层次清晰、针对性强、与采购内容吻合度高，实施性强、完全满足采购需求，得5分； 2.方案逻辑层次较清晰、针对性较强、与采购内容的吻合程度较高，实施性较强，满足采购需求，得3分； 3.方案逻辑层次基本清晰、针对性一般、与采购内容的吻合程度一般，实施性一般，基本满足采购需求，得2分； 4.方案逻辑层次不太清晰、不太全面，影响到项目实施的，得1分； 5.未提供的不得分。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产品进货渠道</w:t>
            </w:r>
          </w:p>
        </w:tc>
        <w:tc>
          <w:tcPr>
            <w:tcW w:type="dxa" w:w="2492"/>
          </w:tcPr>
          <w:p>
            <w:pPr>
              <w:pStyle w:val="null3"/>
            </w:pPr>
            <w:r>
              <w:rPr>
                <w:rFonts w:ascii="仿宋_GB2312" w:hAnsi="仿宋_GB2312" w:cs="仿宋_GB2312" w:eastAsia="仿宋_GB2312"/>
              </w:rPr>
              <w:t>包含但不限于： （1）产品进货渠道正规，为市场较新或最新产品，有质量保证，无假冒伪劣、瑕产品提供产品正规来源渠道合法的证明文件(包括但不限于销售协议、代理协议、原厂授权); （2）质量保证承诺及措施。 ①内容详细全面、层次清楚、完善可行的计5分； ②实施方案内容包含全面，但未针对各项内容进行详细描述的计3分； ③针对以上方案要求，有1项欠缺或无欠缺仅有粗略框架，无具体针对性内容的计2分；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针对本项目有具体的质量保证方案，包含但不限于： （1）质量管理制度； （2）质量保证期限及质量保证范围； （3）投标产品备品备件储备齐全，维修及更换频次较低 ①内容详细全面、层次清楚、完善可行的计5分； ②内容包含全面，但未针对各项内容进行详细描述的计3分；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售后服务人员及承诺</w:t>
            </w:r>
          </w:p>
        </w:tc>
        <w:tc>
          <w:tcPr>
            <w:tcW w:type="dxa" w:w="2492"/>
          </w:tcPr>
          <w:p>
            <w:pPr>
              <w:pStyle w:val="null3"/>
            </w:pPr>
            <w:r>
              <w:rPr>
                <w:rFonts w:ascii="仿宋_GB2312" w:hAnsi="仿宋_GB2312" w:cs="仿宋_GB2312" w:eastAsia="仿宋_GB2312"/>
              </w:rPr>
              <w:t>包含但不限于： (1)售后人员配置及安排计划; (2)售后服务承诺及措施。 ①内容详细全面、层次清楚、完善可行的计5分； ②内容包含全面，但未针对各项内容进行详细描述的计3分； ③针对以上方案要求，有1项欠缺或无欠缺仅有粗略框架，无具体针对性内容的计2分；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针对本项目有具体的售后服务方案,包含但不限于： （1）售后服务网点的设定； （2）设备日常维护方案及措施； （3)项目交付用户后出现故障响应时间及措施。 ①内容详细全面、层次清楚、完善可行的计5分； ②内容包含全面，但未针对各项内容进行详细描述的计3分；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针对本项目有具体的培训方案，包含但不限于： （1）培训目标； （2）培训内容； （3）培训方式； （4）培训计划安排； （5）人员安排。 ①内容详细全面、层次清楚、完善可行的计5分； ②内容包含全面，但未针对各项内容进行详细描述的计3分；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以合同形式提供供应商2022年11月至今类似项目业绩，每份计2.5分，计满5分为止。（以合同签订时间为准，提供完整合同复印件）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满足竞争性磋商文件要求的最终报价最低价作为评标基准价，其价格为满分。其他供应商的报价得分按下列公式计算：报价得分=（评标基准价／磋商报价）×30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详见附件：分项报价清单</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详见附件：其他证明资料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