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版本号：JZZB2025-115120251226003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合阳县农村供水工程消毒设备采购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JZZB2025-1151</w:t>
      </w:r>
      <w:r>
        <w:br/>
      </w:r>
      <w:r>
        <w:br/>
      </w:r>
      <w:r>
        <w:br/>
      </w:r>
    </w:p>
    <w:p>
      <w:pPr>
        <w:pStyle w:val="null3"/>
        <w:jc w:val="center"/>
        <w:outlineLvl w:val="2"/>
      </w:pPr>
      <w:r>
        <w:rPr>
          <w:rFonts w:ascii="仿宋_GB2312" w:hAnsi="仿宋_GB2312" w:cs="仿宋_GB2312" w:eastAsia="仿宋_GB2312"/>
          <w:sz w:val="28"/>
          <w:b/>
        </w:rPr>
        <w:t>合阳县水务局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合阳县水务局</w:t>
      </w:r>
      <w:r>
        <w:rPr>
          <w:rFonts w:ascii="仿宋_GB2312" w:hAnsi="仿宋_GB2312" w:cs="仿宋_GB2312" w:eastAsia="仿宋_GB2312"/>
        </w:rPr>
        <w:t>委托，拟对</w:t>
      </w:r>
      <w:r>
        <w:rPr>
          <w:rFonts w:ascii="仿宋_GB2312" w:hAnsi="仿宋_GB2312" w:cs="仿宋_GB2312" w:eastAsia="仿宋_GB2312"/>
        </w:rPr>
        <w:t>合阳县农村供水工程消毒设备采购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合阳县农村供水工程消毒设备采购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采购农村供水工程消毒设备30套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采购包1（合阳县农村供水工程消毒设备采购）：属于专门面向中小企业采购。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1、授权书：法定代表人直接参加投标的，须出具法人身份证明及身份证复印件；法定代表人授权代表参加投标的，须出具法定代表人授权书及授权代表身份证复印件；</w:t>
      </w:r>
    </w:p>
    <w:p>
      <w:pPr>
        <w:pStyle w:val="null3"/>
      </w:pPr>
      <w:r>
        <w:rPr>
          <w:rFonts w:ascii="仿宋_GB2312" w:hAnsi="仿宋_GB2312" w:cs="仿宋_GB2312" w:eastAsia="仿宋_GB2312"/>
        </w:rPr>
        <w:t>2、供应商承诺：单位负责人为同一人或者存在直接控股、管理关系的不同供应商，不得参加同一合同项下的政府采购活动。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合阳县黄河路67号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雷沛杰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13679231405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合阳县水务局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以实际合同内容为准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采购农村供水工程消毒设备30套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合阳县水务局农村供水工程消毒设备采购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标的名称：合阳县水务局农村供水工程消毒设备采购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 xml:space="preserve"> </w:t>
            </w:r>
          </w:p>
          <w:p>
            <w:pPr>
              <w:pStyle w:val="null3"/>
              <w:spacing w:after="120"/>
              <w:jc w:val="both"/>
            </w:pPr>
            <w:r>
              <w:rPr>
                <w:rFonts w:ascii="仿宋_GB2312" w:hAnsi="仿宋_GB2312" w:cs="仿宋_GB2312" w:eastAsia="仿宋_GB2312"/>
                <w:sz w:val="24"/>
                <w:b/>
              </w:rPr>
              <w:t>设备名称：</w:t>
            </w:r>
            <w:r>
              <w:rPr>
                <w:rFonts w:ascii="仿宋_GB2312" w:hAnsi="仿宋_GB2312" w:cs="仿宋_GB2312" w:eastAsia="仿宋_GB2312"/>
                <w:sz w:val="24"/>
                <w:b/>
                <w:color w:val="000000"/>
              </w:rPr>
              <w:t>臭氧消毒装</w:t>
            </w:r>
            <w:r>
              <w:rPr>
                <w:rFonts w:ascii="仿宋_GB2312" w:hAnsi="仿宋_GB2312" w:cs="仿宋_GB2312" w:eastAsia="仿宋_GB2312"/>
                <w:sz w:val="24"/>
                <w:b/>
                <w:color w:val="000000"/>
              </w:rPr>
              <w:t>置</w:t>
            </w:r>
          </w:p>
          <w:p>
            <w:pPr>
              <w:pStyle w:val="null3"/>
              <w:jc w:val="both"/>
            </w:pPr>
            <w:r>
              <w:rPr>
                <w:rFonts w:ascii="仿宋_GB2312" w:hAnsi="仿宋_GB2312" w:cs="仿宋_GB2312" w:eastAsia="仿宋_GB2312"/>
                <w:sz w:val="24"/>
                <w:b/>
                <w:color w:val="000000"/>
              </w:rPr>
              <w:t>核心产品：</w:t>
            </w:r>
            <w:r>
              <w:rPr>
                <w:rFonts w:ascii="仿宋_GB2312" w:hAnsi="仿宋_GB2312" w:cs="仿宋_GB2312" w:eastAsia="仿宋_GB2312"/>
                <w:sz w:val="24"/>
                <w:b/>
                <w:color w:val="000000"/>
              </w:rPr>
              <w:t>臭氧消毒装</w:t>
            </w:r>
            <w:r>
              <w:rPr>
                <w:rFonts w:ascii="仿宋_GB2312" w:hAnsi="仿宋_GB2312" w:cs="仿宋_GB2312" w:eastAsia="仿宋_GB2312"/>
                <w:sz w:val="24"/>
                <w:b/>
                <w:color w:val="000000"/>
              </w:rPr>
              <w:t>置</w:t>
            </w:r>
          </w:p>
          <w:p>
            <w:pPr>
              <w:pStyle w:val="null3"/>
              <w:jc w:val="both"/>
            </w:pPr>
            <w:r>
              <w:rPr>
                <w:rFonts w:ascii="仿宋_GB2312" w:hAnsi="仿宋_GB2312" w:cs="仿宋_GB2312" w:eastAsia="仿宋_GB2312"/>
                <w:sz w:val="24"/>
                <w:b/>
                <w:color w:val="000000"/>
              </w:rPr>
              <w:t>主要作用：消毒杀菌、除藻</w:t>
            </w:r>
            <w:r>
              <w:rPr>
                <w:rFonts w:ascii="仿宋_GB2312" w:hAnsi="仿宋_GB2312" w:cs="仿宋_GB2312" w:eastAsia="仿宋_GB2312"/>
                <w:sz w:val="24"/>
              </w:rPr>
              <w:t>（</w:t>
            </w:r>
            <w:r>
              <w:rPr>
                <w:rFonts w:ascii="仿宋_GB2312" w:hAnsi="仿宋_GB2312" w:cs="仿宋_GB2312" w:eastAsia="仿宋_GB2312"/>
                <w:sz w:val="24"/>
                <w:b/>
              </w:rPr>
              <w:t>可处理并达标生活饮用水卫生标准</w:t>
            </w:r>
            <w:r>
              <w:rPr>
                <w:rFonts w:ascii="仿宋_GB2312" w:hAnsi="仿宋_GB2312" w:cs="仿宋_GB2312" w:eastAsia="仿宋_GB2312"/>
                <w:sz w:val="24"/>
                <w:b/>
              </w:rPr>
              <w:t>GB5749-20</w:t>
            </w:r>
            <w:r>
              <w:rPr>
                <w:rFonts w:ascii="仿宋_GB2312" w:hAnsi="仿宋_GB2312" w:cs="仿宋_GB2312" w:eastAsia="仿宋_GB2312"/>
                <w:sz w:val="24"/>
                <w:b/>
              </w:rPr>
              <w:t>2</w:t>
            </w:r>
            <w:r>
              <w:rPr>
                <w:rFonts w:ascii="仿宋_GB2312" w:hAnsi="仿宋_GB2312" w:cs="仿宋_GB2312" w:eastAsia="仿宋_GB2312"/>
                <w:sz w:val="24"/>
                <w:b/>
              </w:rPr>
              <w:t>2</w:t>
            </w:r>
            <w:r>
              <w:rPr>
                <w:rFonts w:ascii="仿宋_GB2312" w:hAnsi="仿宋_GB2312" w:cs="仿宋_GB2312" w:eastAsia="仿宋_GB2312"/>
                <w:sz w:val="24"/>
                <w:b/>
              </w:rPr>
              <w:t>中对总大肠菌群、耐热大肠菌群、大肠埃希氏菌、蔨落总数的要求</w:t>
            </w:r>
            <w:r>
              <w:rPr>
                <w:rFonts w:ascii="仿宋_GB2312" w:hAnsi="仿宋_GB2312" w:cs="仿宋_GB2312" w:eastAsia="仿宋_GB2312"/>
                <w:sz w:val="24"/>
              </w:rPr>
              <w:t>）</w:t>
            </w:r>
          </w:p>
          <w:tbl>
            <w:tblPr>
              <w:tblBorders>
                <w:top w:val="none" w:color="000000" w:sz="4"/>
                <w:left w:val="none" w:color="000000" w:sz="4"/>
                <w:bottom w:val="none" w:color="000000" w:sz="4"/>
                <w:right w:val="none" w:color="000000" w:sz="4"/>
                <w:insideH w:val="none"/>
                <w:insideV w:val="none"/>
              </w:tblBorders>
            </w:tblPr>
            <w:tblGrid>
              <w:gridCol w:w="197"/>
              <w:gridCol w:w="223"/>
              <w:gridCol w:w="394"/>
              <w:gridCol w:w="1017"/>
              <w:gridCol w:w="320"/>
              <w:gridCol w:w="386"/>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分类</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w:t>
                  </w:r>
                </w:p>
                <w:p>
                  <w:pPr>
                    <w:pStyle w:val="null3"/>
                    <w:jc w:val="center"/>
                  </w:pPr>
                  <w:r>
                    <w:rPr>
                      <w:rFonts w:ascii="仿宋_GB2312" w:hAnsi="仿宋_GB2312" w:cs="仿宋_GB2312" w:eastAsia="仿宋_GB2312"/>
                      <w:sz w:val="21"/>
                    </w:rPr>
                    <w:t>设</w:t>
                  </w:r>
                </w:p>
                <w:p>
                  <w:pPr>
                    <w:pStyle w:val="null3"/>
                    <w:jc w:val="center"/>
                  </w:pPr>
                  <w:r>
                    <w:rPr>
                      <w:rFonts w:ascii="仿宋_GB2312" w:hAnsi="仿宋_GB2312" w:cs="仿宋_GB2312" w:eastAsia="仿宋_GB2312"/>
                      <w:sz w:val="21"/>
                    </w:rPr>
                    <w:t>备</w:t>
                  </w:r>
                </w:p>
              </w:tc>
              <w:tc>
                <w:tcPr>
                  <w:tcW w:type="dxa" w:w="39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臭氧发生器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臭氧产量：</w:t>
                  </w:r>
                  <w:r>
                    <w:rPr>
                      <w:rFonts w:ascii="仿宋_GB2312" w:hAnsi="仿宋_GB2312" w:cs="仿宋_GB2312" w:eastAsia="仿宋_GB2312"/>
                      <w:sz w:val="21"/>
                    </w:rPr>
                    <w:t>≥</w:t>
                  </w:r>
                  <w:r>
                    <w:rPr>
                      <w:rFonts w:ascii="仿宋_GB2312" w:hAnsi="仿宋_GB2312" w:cs="仿宋_GB2312" w:eastAsia="仿宋_GB2312"/>
                      <w:sz w:val="21"/>
                    </w:rPr>
                    <w:t>10g/h</w:t>
                  </w:r>
                </w:p>
                <w:p>
                  <w:pPr>
                    <w:pStyle w:val="null3"/>
                    <w:jc w:val="left"/>
                  </w:pPr>
                  <w:r>
                    <w:rPr>
                      <w:rFonts w:ascii="仿宋_GB2312" w:hAnsi="仿宋_GB2312" w:cs="仿宋_GB2312" w:eastAsia="仿宋_GB2312"/>
                      <w:sz w:val="21"/>
                    </w:rPr>
                    <w:t>抑菌率：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≥260W</w:t>
                  </w:r>
                </w:p>
                <w:p>
                  <w:pPr>
                    <w:pStyle w:val="null3"/>
                    <w:jc w:val="left"/>
                  </w:pPr>
                  <w:r>
                    <w:rPr>
                      <w:rFonts w:ascii="仿宋_GB2312" w:hAnsi="仿宋_GB2312" w:cs="仿宋_GB2312" w:eastAsia="仿宋_GB2312"/>
                      <w:sz w:val="21"/>
                    </w:rPr>
                    <w:t>气源：空气源</w:t>
                  </w:r>
                </w:p>
                <w:p>
                  <w:pPr>
                    <w:pStyle w:val="null3"/>
                    <w:jc w:val="left"/>
                  </w:pPr>
                  <w:r>
                    <w:rPr>
                      <w:rFonts w:ascii="仿宋_GB2312" w:hAnsi="仿宋_GB2312" w:cs="仿宋_GB2312" w:eastAsia="仿宋_GB2312"/>
                      <w:sz w:val="21"/>
                    </w:rPr>
                    <w:t>冷却方式：风冷</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3"/>
                  <w:vMerge/>
                  <w:tcBorders>
                    <w:top w:val="none" w:color="000000" w:sz="4"/>
                    <w:left w:val="single" w:color="000000" w:sz="4"/>
                    <w:bottom w:val="single" w:color="000000" w:sz="4"/>
                    <w:right w:val="single" w:color="000000" w:sz="4"/>
                  </w:tcBorders>
                </w:tcPr>
                <w:p/>
              </w:tc>
              <w:tc>
                <w:tcPr>
                  <w:tcW w:type="dxa" w:w="394"/>
                  <w:vMerge/>
                  <w:tcBorders>
                    <w:top w:val="none" w:color="000000" w:sz="4"/>
                    <w:left w:val="single" w:color="000000" w:sz="4"/>
                    <w:bottom w:val="single" w:color="000000" w:sz="4"/>
                    <w:right w:val="single" w:color="000000" w:sz="4"/>
                  </w:tcBorders>
                </w:tcP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臭氧产量：</w:t>
                  </w:r>
                  <w:r>
                    <w:rPr>
                      <w:rFonts w:ascii="仿宋_GB2312" w:hAnsi="仿宋_GB2312" w:cs="仿宋_GB2312" w:eastAsia="仿宋_GB2312"/>
                      <w:sz w:val="21"/>
                    </w:rPr>
                    <w:t>≥</w:t>
                  </w:r>
                  <w:r>
                    <w:rPr>
                      <w:rFonts w:ascii="仿宋_GB2312" w:hAnsi="仿宋_GB2312" w:cs="仿宋_GB2312" w:eastAsia="仿宋_GB2312"/>
                      <w:sz w:val="21"/>
                    </w:rPr>
                    <w:t>20g/h</w:t>
                  </w:r>
                </w:p>
                <w:p>
                  <w:pPr>
                    <w:pStyle w:val="null3"/>
                    <w:jc w:val="left"/>
                  </w:pPr>
                  <w:r>
                    <w:rPr>
                      <w:rFonts w:ascii="仿宋_GB2312" w:hAnsi="仿宋_GB2312" w:cs="仿宋_GB2312" w:eastAsia="仿宋_GB2312"/>
                      <w:sz w:val="21"/>
                    </w:rPr>
                    <w:t>抑菌率：</w:t>
                  </w:r>
                  <w:r>
                    <w:rPr>
                      <w:rFonts w:ascii="仿宋_GB2312" w:hAnsi="仿宋_GB2312" w:cs="仿宋_GB2312" w:eastAsia="仿宋_GB2312"/>
                      <w:sz w:val="21"/>
                    </w:rPr>
                    <w:t>≥</w:t>
                  </w:r>
                  <w:r>
                    <w:rPr>
                      <w:rFonts w:ascii="仿宋_GB2312" w:hAnsi="仿宋_GB2312" w:cs="仿宋_GB2312" w:eastAsia="仿宋_GB2312"/>
                      <w:sz w:val="21"/>
                    </w:rPr>
                    <w:t>99%</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≥300W</w:t>
                  </w:r>
                </w:p>
                <w:p>
                  <w:pPr>
                    <w:pStyle w:val="null3"/>
                    <w:jc w:val="left"/>
                  </w:pPr>
                  <w:r>
                    <w:rPr>
                      <w:rFonts w:ascii="仿宋_GB2312" w:hAnsi="仿宋_GB2312" w:cs="仿宋_GB2312" w:eastAsia="仿宋_GB2312"/>
                      <w:sz w:val="21"/>
                    </w:rPr>
                    <w:t>气源：空气源</w:t>
                  </w:r>
                </w:p>
                <w:p>
                  <w:pPr>
                    <w:pStyle w:val="null3"/>
                    <w:jc w:val="left"/>
                  </w:pPr>
                  <w:r>
                    <w:rPr>
                      <w:rFonts w:ascii="仿宋_GB2312" w:hAnsi="仿宋_GB2312" w:cs="仿宋_GB2312" w:eastAsia="仿宋_GB2312"/>
                      <w:sz w:val="21"/>
                    </w:rPr>
                    <w:t>冷却方式：风冷</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室内控制柜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材质：不锈钢</w:t>
                  </w:r>
                  <w:r>
                    <w:rPr>
                      <w:rFonts w:ascii="仿宋_GB2312" w:hAnsi="仿宋_GB2312" w:cs="仿宋_GB2312" w:eastAsia="仿宋_GB2312"/>
                      <w:sz w:val="21"/>
                    </w:rPr>
                    <w:t>/碳钢喷塑，防雨型，尺寸不小于650×450×1200mm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室外控制柜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材质：不锈钢</w:t>
                  </w:r>
                  <w:r>
                    <w:rPr>
                      <w:rFonts w:ascii="仿宋_GB2312" w:hAnsi="仿宋_GB2312" w:cs="仿宋_GB2312" w:eastAsia="仿宋_GB2312"/>
                      <w:sz w:val="21"/>
                    </w:rPr>
                    <w:t>/碳钢喷塑，防雨型，尺寸不小于650×450×1200mm</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电线电缆</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2芯(2.5mm)1套，含线管</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24v DC供电，12输入/8输出</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太阳能供电</w:t>
                  </w:r>
                </w:p>
                <w:p>
                  <w:pPr>
                    <w:pStyle w:val="null3"/>
                    <w:jc w:val="center"/>
                  </w:pPr>
                  <w:r>
                    <w:rPr>
                      <w:rFonts w:ascii="仿宋_GB2312" w:hAnsi="仿宋_GB2312" w:cs="仿宋_GB2312" w:eastAsia="仿宋_GB2312"/>
                      <w:sz w:val="21"/>
                    </w:rPr>
                    <w:t>设备</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含光伏板、支架、底座、配套电池、逆变器、控制器、电源线及辅材，日发电储电量不低于</w:t>
                  </w:r>
                  <w:r>
                    <w:rPr>
                      <w:rFonts w:ascii="仿宋_GB2312" w:hAnsi="仿宋_GB2312" w:cs="仿宋_GB2312" w:eastAsia="仿宋_GB2312"/>
                      <w:sz w:val="21"/>
                    </w:rPr>
                    <w:t>4度。</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3"/>
                  <w:vMerge/>
                  <w:tcBorders>
                    <w:top w:val="none" w:color="000000" w:sz="4"/>
                    <w:left w:val="single" w:color="000000" w:sz="4"/>
                    <w:bottom w:val="single" w:color="000000" w:sz="4"/>
                    <w:right w:val="single" w:color="000000" w:sz="4"/>
                  </w:tcBorders>
                </w:tcP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室外隔断</w:t>
                  </w:r>
                </w:p>
                <w:p>
                  <w:pPr>
                    <w:pStyle w:val="null3"/>
                    <w:jc w:val="center"/>
                  </w:pPr>
                  <w:r>
                    <w:rPr>
                      <w:rFonts w:ascii="仿宋_GB2312" w:hAnsi="仿宋_GB2312" w:cs="仿宋_GB2312" w:eastAsia="仿宋_GB2312"/>
                      <w:sz w:val="21"/>
                    </w:rPr>
                    <w:t>围栏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不小于</w:t>
                  </w:r>
                  <w:r>
                    <w:rPr>
                      <w:rFonts w:ascii="仿宋_GB2312" w:hAnsi="仿宋_GB2312" w:cs="仿宋_GB2312" w:eastAsia="仿宋_GB2312"/>
                      <w:sz w:val="21"/>
                    </w:rPr>
                    <w:t>300cm</w:t>
                  </w:r>
                  <w:r>
                    <w:rPr>
                      <w:rFonts w:ascii="仿宋_GB2312" w:hAnsi="仿宋_GB2312" w:cs="仿宋_GB2312" w:eastAsia="仿宋_GB2312"/>
                      <w:sz w:val="21"/>
                    </w:rPr>
                    <w:t>×180cm，材质：浸塑3.5mm钢丝</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招标文件要求提供的产品或者服务，质量不能满足采购人技术要求，采购单位有权终止合同，甚至对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（2）、供应商应具备良好的商业信誉，提供参加政府采购活动前3年内在经营活动中没有重大违法记录的书面声明； （3）、财务状况报告：供应商提供2023或2024年的财务审计报告（至少包括资产负债表和利润表，成立时间至提交响应文件截止时间不足一年的可提供成立后任意时段的资产负债表），或其开标前六个月内银行开具的资信证明； （4）、社会保障资金缴纳证明：供应商提供已缴存的2024年12月至今任意一个月的社会保障资金缴存单据或社保机构开具的社会保险参保缴费情况证明，单据或证明上应有社保机构或代收机构的公章。依法不需要缴纳社会保障资金的供应商应提供相关文件证明； （5）、税收缴纳证明：供应商提供已缴纳的2024年12月至今任意一个月的纳税证明或完税证明，纳税证明或完税证明上应有代收机构或税务机关的公章。依法免税的供应商应提供相关文件证明；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（7）、具备履行合同所必需的设备和专业技术能力的证明材料（书面声明）；供应商需在项目电子化交易系统中按要求填写《投标函》完成承诺并进行电子签章。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业绩 商务应答表 保证金缴纳凭证 其他证明资料 资格证明文件 技术参数表 满足详细评审办法的内容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法定代表人直接参加投标的，须出具法人身份证明及身份证复印件；法定代表人授权代表参加投标的，须出具法定代表人授权书及授权代表身份证复印件；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投标文件的签署、加盖印章是否合格、有效；投标有效期是否满足招标文件规定。</w:t>
            </w:r>
          </w:p>
        </w:tc>
        <w:tc>
          <w:tcPr>
            <w:tcW w:type="dxa" w:w="1661"/>
          </w:tcPr>
          <w:p>
            <w:pPr>
              <w:pStyle w:val="null3"/>
            </w:pPr>
            <w:r>
              <w:rPr>
                <w:rFonts w:ascii="仿宋_GB2312" w:hAnsi="仿宋_GB2312" w:cs="仿宋_GB2312" w:eastAsia="仿宋_GB2312"/>
              </w:rPr>
              <w:t>技术参数表 资格证明文件 投标函 中小企业声明函 商务应答表 投标分项报价表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供应商所投产品技术参数清楚、明确并能逐条响应并满足招标文件参数表中所有参数要求，得20分。 技术参数负偏离一项扣1分。 在技术规格响应表“备注”栏中标明证明材料的页码，未提供证明材料视为负偏离。（备注：证明材料包含但不限于技术白皮书、官网功能截图、产品彩页、产品技术说明、相关检测报告等资料任意一种。）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技术参数表</w:t>
            </w:r>
          </w:p>
        </w:tc>
      </w:tr>
      <w:tr>
        <w:tc>
          <w:tcPr>
            <w:tcW w:type="dxa" w:w="831"/>
            <w:vMerge/>
          </w:tcPr>
          <w:p/>
        </w:tc>
        <w:tc>
          <w:tcPr>
            <w:tcW w:type="dxa" w:w="1661"/>
          </w:tcPr>
          <w:p>
            <w:pPr>
              <w:pStyle w:val="null3"/>
            </w:pPr>
            <w:r>
              <w:rPr>
                <w:rFonts w:ascii="仿宋_GB2312" w:hAnsi="仿宋_GB2312" w:cs="仿宋_GB2312" w:eastAsia="仿宋_GB2312"/>
              </w:rPr>
              <w:t>项目团队人员安排及责任制度及进度保障措施</w:t>
            </w:r>
          </w:p>
        </w:tc>
        <w:tc>
          <w:tcPr>
            <w:tcW w:type="dxa" w:w="2492"/>
          </w:tcPr>
          <w:p>
            <w:pPr>
              <w:pStyle w:val="null3"/>
            </w:pPr>
            <w:r>
              <w:rPr>
                <w:rFonts w:ascii="仿宋_GB2312" w:hAnsi="仿宋_GB2312" w:cs="仿宋_GB2312" w:eastAsia="仿宋_GB2312"/>
              </w:rPr>
              <w:t>包含但不限于： （1）备货、供货进度及保证措施； （2）项目团队人员安排及责任制度；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（1）备货、供货进度及保证措施； （2）项目验收方案； （3）应急处理措施。 ①内容详细全面、层次清楚、完善可行的计5分； ②实施方案内容包含全面，但未针对各项内容进行详细描述的计3分；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 （1）资金筹措； （2）仓储设施； （3）运输工具。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包含但不限于： （1）产品进货渠道正规，为市场较新或最新产品，有质量保证，无假冒伪劣、瑕产品提供产品正规来源渠道合法的证明文件(包括但不限于销售协议、代理协议、原厂授权); （2）质量保证承诺及措施。 ①内容详细全面、层次清楚、完善可行的计5分； ②实施方案内容包含全面，但未针对各项内容进行详细描述的计3分；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（3）投标产品备品备件储备齐全，维修及更换频次较低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 （1）产品质量应急预案 （2）产品运输应急预案 （3）产品安装应急预案 （4）备品备件应急预案 （5）各环节安全应急预案 涵盖以上内容且不存在缺陷得5分，在此基础上，每缺少一项内容扣1分，每有一处内容存在缺陷扣0.5分，扣完为止； 注：“内容存在缺陷”是指：①本项目提供的应急保障措施中引用法律法规、规范、标准或其他规范性文件存在失效或错误；②非专门针对本项目或内容与本项目需求无关；③复制或套用其他项目内容；④照搬采购需求且未作出进一步描述。包括但不限于以上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售后服务人员及承诺</w:t>
            </w:r>
          </w:p>
        </w:tc>
        <w:tc>
          <w:tcPr>
            <w:tcW w:type="dxa" w:w="2492"/>
          </w:tcPr>
          <w:p>
            <w:pPr>
              <w:pStyle w:val="null3"/>
            </w:pPr>
            <w:r>
              <w:rPr>
                <w:rFonts w:ascii="仿宋_GB2312" w:hAnsi="仿宋_GB2312" w:cs="仿宋_GB2312" w:eastAsia="仿宋_GB2312"/>
              </w:rPr>
              <w:t>包含但不限于： (1)售后人员配置及安排计划; (2)售后服务承诺及措施。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（1）售后服务网点的设定； （2）设备日常维护方案及措施； （3)项目交付用户后出现故障响应时间及措施。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以合同形式提供供应商2022年12月至今类似项目业绩，每份计2.5分，计满5分为止。（以合同签订时间为准，提供完整合同复印件）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详见附件：技术参数表</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