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r>
        <w:rPr>
          <w:rFonts w:hint="eastAsia" w:ascii="宋体" w:hAnsi="宋体" w:cs="宋体"/>
          <w:sz w:val="21"/>
          <w:szCs w:val="21"/>
          <w:lang w:val="en-US" w:eastAsia="zh-CN"/>
        </w:rPr>
        <w:t>；</w:t>
      </w:r>
    </w:p>
    <w:p w14:paraId="45CD6A7D">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zh-CN" w:eastAsia="zh-CN"/>
        </w:rPr>
      </w:pPr>
      <w:r>
        <w:rPr>
          <w:rFonts w:hint="eastAsia" w:ascii="宋体" w:hAnsi="宋体" w:cs="宋体"/>
          <w:sz w:val="21"/>
          <w:szCs w:val="21"/>
          <w:lang w:val="en-US" w:eastAsia="zh-CN"/>
        </w:rPr>
        <w:t>（9）</w:t>
      </w:r>
      <w:r>
        <w:rPr>
          <w:rFonts w:hint="eastAsia" w:ascii="宋体" w:hAnsi="宋体" w:eastAsia="宋体" w:cs="宋体"/>
          <w:sz w:val="21"/>
          <w:szCs w:val="21"/>
          <w:lang w:val="en-US" w:eastAsia="zh-CN"/>
        </w:rPr>
        <w:t>供应商须具备相关行政主管部门颁发的城乡规划编制乙级及以上资质或土地规划编制乙级及以上资质证书。</w:t>
      </w:r>
      <w:bookmarkStart w:id="2" w:name="_GoBack"/>
      <w:bookmarkEnd w:id="2"/>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D661F"/>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1753</Words>
  <Characters>1856</Characters>
  <Lines>0</Lines>
  <Paragraphs>0</Paragraphs>
  <TotalTime>0</TotalTime>
  <ScaleCrop>false</ScaleCrop>
  <LinksUpToDate>false</LinksUpToDate>
  <CharactersWithSpaces>2372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WPS_1652166058</cp:lastModifiedBy>
  <dcterms:modified xsi:type="dcterms:W3CDTF">2025-07-19T04:12:34Z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