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版本号：TZWN2025-01920250719001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合阳县村庄规划编制质量评估项目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TZWN2025-019</w:t>
      </w:r>
      <w:r>
        <w:br/>
      </w:r>
      <w:r>
        <w:br/>
      </w:r>
      <w:r>
        <w:br/>
      </w:r>
    </w:p>
    <w:p>
      <w:pPr>
        <w:pStyle w:val="null3"/>
        <w:jc w:val="center"/>
        <w:outlineLvl w:val="2"/>
      </w:pPr>
      <w:r>
        <w:rPr>
          <w:rFonts w:ascii="仿宋_GB2312" w:hAnsi="仿宋_GB2312" w:cs="仿宋_GB2312" w:eastAsia="仿宋_GB2312"/>
          <w:sz w:val="28"/>
          <w:b/>
        </w:rPr>
        <w:t>合阳县自然资源局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合阳县自然资源局</w:t>
      </w:r>
      <w:r>
        <w:rPr>
          <w:rFonts w:ascii="仿宋_GB2312" w:hAnsi="仿宋_GB2312" w:cs="仿宋_GB2312" w:eastAsia="仿宋_GB2312"/>
        </w:rPr>
        <w:t>委托，拟对</w:t>
      </w:r>
      <w:r>
        <w:rPr>
          <w:rFonts w:ascii="仿宋_GB2312" w:hAnsi="仿宋_GB2312" w:cs="仿宋_GB2312" w:eastAsia="仿宋_GB2312"/>
        </w:rPr>
        <w:t>合阳县村庄规划编制质量评估项目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TZWN2025-019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合阳县村庄规划编制质量评估项目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1、对合阳县村庄（社区）规划编制质量评估。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采购包1（合阳县村庄规划编制质量评估项目）：属于专门面向中小企业采购。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 法人 授权委 托书：法定代表人资格证明或法定代表人授权委托书原件、授权代表身份证复印件。</w:t>
      </w:r>
    </w:p>
    <w:p>
      <w:pPr>
        <w:pStyle w:val="null3"/>
      </w:pPr>
      <w:r>
        <w:rPr>
          <w:rFonts w:ascii="仿宋_GB2312" w:hAnsi="仿宋_GB2312" w:cs="仿宋_GB2312" w:eastAsia="仿宋_GB2312"/>
        </w:rPr>
        <w:t>2、供应商资质情况：供应商须具备相关行政主管部门颁发的城乡规划编制乙级及以上资质或土地规划编制乙级及以上资质证书。</w:t>
      </w:r>
    </w:p>
    <w:p>
      <w:pPr>
        <w:pStyle w:val="null3"/>
      </w:pPr>
      <w:r>
        <w:rPr>
          <w:rFonts w:ascii="仿宋_GB2312" w:hAnsi="仿宋_GB2312" w:cs="仿宋_GB2312" w:eastAsia="仿宋_GB2312"/>
        </w:rPr>
        <w:t>3、信用中国网 、中 国执行 公开网和 中 国政府采购 网 查询情况：供应商未被《信用中国》（网站：www.creditchina.gov.cn)列入重大税收违法失信主体、 未被《中国执行信息公开网》（网站：http://zxgk.court.gov.cn/shixin/)列入失信被执行 人及未被《中国政府采购网》（网站：www.ccgp.gov.cn）列入政府采购严重违法失信行 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合阳县解放路南段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15991945020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孙莉立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13636786770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0913-5522057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代理服务费收费标准：参照国家计委印发《招标代理服务收费管理暂行办法》的通知(计价格[2002]1980号)中相应取费标准计取。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合阳县自然资源局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符合国家现行技术规范合格标准及满足采购人采购需求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联系人：孙莉立</w:t>
      </w:r>
    </w:p>
    <w:p>
      <w:pPr>
        <w:pStyle w:val="null3"/>
      </w:pPr>
      <w:r>
        <w:rPr>
          <w:rFonts w:ascii="仿宋_GB2312" w:hAnsi="仿宋_GB2312" w:cs="仿宋_GB2312" w:eastAsia="仿宋_GB2312"/>
        </w:rPr>
        <w:t>联系电话：13636786770</w:t>
      </w:r>
    </w:p>
    <w:p>
      <w:pPr>
        <w:pStyle w:val="null3"/>
      </w:pPr>
      <w:r>
        <w:rPr>
          <w:rFonts w:ascii="仿宋_GB2312" w:hAnsi="仿宋_GB2312" w:cs="仿宋_GB2312" w:eastAsia="仿宋_GB2312"/>
        </w:rPr>
        <w:t>地址：渭南市临渭区三贤路与玉德路十字西北角豪庭佳苑商铺4层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1、对合阳县村庄（社区）规划编制质量评估。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合阳县村庄规划编制质量评估项目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标的名称：合阳县村庄规划编制质量评估项目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一、评估目的</w:t>
            </w:r>
            <w:r>
              <w:br/>
            </w:r>
            <w:r>
              <w:rPr>
                <w:rFonts w:ascii="仿宋_GB2312" w:hAnsi="仿宋_GB2312" w:cs="仿宋_GB2312" w:eastAsia="仿宋_GB2312"/>
              </w:rPr>
              <w:t xml:space="preserve"> 贯彻落实《自然资源部中央农村工作领导小组办公室关于学习运用“千万工程”经验提高村庄规划编制质量和实效的通知》(自然资发〔2024〕1 号)工作要求，及时纠正村庄规划编制工作中存在的盲目追求全覆盖脱离实际、实用性不强等问题和倾向，切实减轻基层负担，全面提高全县村庄规划编制质量和实效，为引领宜居宜业和美乡村建设、推进乡村全面振兴、推动城乡融合发展提供坚实的规划支撑。</w:t>
            </w:r>
            <w:r>
              <w:br/>
            </w:r>
            <w:r>
              <w:rPr>
                <w:rFonts w:ascii="仿宋_GB2312" w:hAnsi="仿宋_GB2312" w:cs="仿宋_GB2312" w:eastAsia="仿宋_GB2312"/>
              </w:rPr>
              <w:t xml:space="preserve"> 二、评估方式</w:t>
            </w:r>
            <w:r>
              <w:br/>
            </w:r>
            <w:r>
              <w:rPr>
                <w:rFonts w:ascii="仿宋_GB2312" w:hAnsi="仿宋_GB2312" w:cs="仿宋_GB2312" w:eastAsia="仿宋_GB2312"/>
              </w:rPr>
              <w:t xml:space="preserve"> 以县为单位，按照《陕西省村庄规划质量评估技术指南(试行)》分类开展评估工作。已取得县级人民政府批复或已编制完成未取得批复的村庄规划按照适用性评估要求进行质量评估；正在编制的村庄规划参照适用性评估要求进行质量提升；已列入编制计划尚未编制的村庄按照需求性评估要求评估单独编制的必要性。</w:t>
            </w:r>
            <w:r>
              <w:br/>
            </w:r>
            <w:r>
              <w:rPr>
                <w:rFonts w:ascii="仿宋_GB2312" w:hAnsi="仿宋_GB2312" w:cs="仿宋_GB2312" w:eastAsia="仿宋_GB2312"/>
              </w:rPr>
              <w:t xml:space="preserve"> 三、评估内容</w:t>
            </w:r>
            <w:r>
              <w:br/>
            </w:r>
            <w:r>
              <w:rPr>
                <w:rFonts w:ascii="仿宋_GB2312" w:hAnsi="仿宋_GB2312" w:cs="仿宋_GB2312" w:eastAsia="仿宋_GB2312"/>
              </w:rPr>
              <w:t xml:space="preserve"> （一）贯彻部省要求。持续做好《自然资源部中央农村工作领导小组办公室关于 学习运用“千万工程”经验提高村庄规划编制质量和实效的通知》贯彻落实工作，及时组织召开动员会议，安排部署村庄规划编制质量评估工作，明确评估目的、内容、方式、时限等要求。</w:t>
            </w:r>
            <w:r>
              <w:br/>
            </w:r>
            <w:r>
              <w:rPr>
                <w:rFonts w:ascii="仿宋_GB2312" w:hAnsi="仿宋_GB2312" w:cs="仿宋_GB2312" w:eastAsia="仿宋_GB2312"/>
              </w:rPr>
              <w:t xml:space="preserve"> （二）制定实施方案。制定村庄规划评估工作实施方案，按照评估范围对村庄规划编制情况进行分类，明确需要开展评估工作的行政村，形成村庄规划编制质量评估台账上报。</w:t>
            </w:r>
            <w:r>
              <w:br/>
            </w:r>
            <w:r>
              <w:rPr>
                <w:rFonts w:ascii="仿宋_GB2312" w:hAnsi="仿宋_GB2312" w:cs="仿宋_GB2312" w:eastAsia="仿宋_GB2312"/>
              </w:rPr>
              <w:t xml:space="preserve"> （三）开展分析评估。认真贯彻落实自然资源部办公厅《关于切实做好村庄规划工作的通知》(自然资办发(〔2024]42 号) 要求，依据《陕西省村庄规划质量评估技术指南（试行）》，组 织开展村庄规划质量评估工作，分类有序推进村庄规划编制工作。一是对全县已批复和正在编制的村庄规划开展适应性评估，符合“三区三线”等国土空间规划管控要求的或补充完善后符合要求的，可继续使用；评估不符合要求的，修改完 善后按照法定程序报批，严重违反上位规划约束性内容的应撤销原规划批复。二是重新梳理村庄规划编制计划，对还未编制村庄规划的村庄开展需求性评估，经评估确有需求、有条件的重点发展、特色保护型村庄可单独编制村庄规划；其余村庄原则上不再列入编制计划，制定“通则式”规划管理规定，纳入镇级国土空间规划，依法报批后作为乡村规划管理的依据。</w:t>
            </w:r>
            <w:r>
              <w:br/>
            </w:r>
            <w:r>
              <w:rPr>
                <w:rFonts w:ascii="仿宋_GB2312" w:hAnsi="仿宋_GB2312" w:cs="仿宋_GB2312" w:eastAsia="仿宋_GB2312"/>
              </w:rPr>
              <w:t xml:space="preserve"> （四）形成评估报告。撰写评估报告，总结评估工作的主要做法、经验亮点、存在问步工作等题以及下一步工作等，评估报告模板详见评估指南。</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陕西省渭南市合阳县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符合国家现行技术规范合格标准及满足采购人采购需求。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成果完成并经初步验收合格后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乙方提供合同要求的全部成果，并通过主管监督部门审查后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 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成交供应在公示结束后，需提供系统签章后的响应文件，打印三套，封皮加盖单位鲜章，送至招标代理机构。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 供法人营业执照等证明文件，自然人的身份证 明； 2、有依法缴纳税收和社会保障资金的良好 记录：提供2025年1月份至今任意一个月依法 缴纳税收和社会保障资金的相关材料； 3、具备 履行合同所必需的设备和专业技术能力的证明 材料：提供承诺书； 4、提供参加政府采购活动 前三年内在经营活动中没有重大违法记录的书 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 务报告（成立时间至开标时间不足一年的可提 供成立后任意时段的资产负债表）或2025年1 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 法人 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供应商资质情况</w:t>
            </w:r>
          </w:p>
        </w:tc>
        <w:tc>
          <w:tcPr>
            <w:tcW w:type="dxa" w:w="3322"/>
          </w:tcPr>
          <w:p>
            <w:pPr>
              <w:pStyle w:val="null3"/>
            </w:pPr>
            <w:r>
              <w:rPr>
                <w:rFonts w:ascii="仿宋_GB2312" w:hAnsi="仿宋_GB2312" w:cs="仿宋_GB2312" w:eastAsia="仿宋_GB2312"/>
              </w:rPr>
              <w:t>供应商须具备相关行政主管部门颁发的城乡规划编制乙级及以上资质或土地规划编制乙级及以上资质证书。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 、中 国执行 公开网和 中 国政府采购 网 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 未被《中国执行信息公开网》（网站：http://zxgk.court.gov.cn/shixin/)列入失信被执行 人及未被《中国政府采购网》（网站：www.ccgp.gov.cn）列入政府采购严重违法失信行 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标的清单 报价表 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合同签订之日起30日历天内完成</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响应文件封面 人员配置.docx 分项报价表.docx 中小企业声明函 企业业绩.docx 标的清单 报价表 响应函 商务偏离表.docx 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w:t>
            </w:r>
          </w:p>
        </w:tc>
        <w:tc>
          <w:tcPr>
            <w:tcW w:type="dxa" w:w="2492"/>
          </w:tcPr>
          <w:p>
            <w:pPr>
              <w:pStyle w:val="null3"/>
            </w:pPr>
            <w:r>
              <w:rPr>
                <w:rFonts w:ascii="仿宋_GB2312" w:hAnsi="仿宋_GB2312" w:cs="仿宋_GB2312" w:eastAsia="仿宋_GB2312"/>
              </w:rPr>
              <w:t>根据国家、省、市政策、区域层面解读项目背景，准确 把握编制思路，由评审专家根据响应情况赋分。 ①项目背景和现状解读全面、项目内容及相关技术标准 规范理解深刻计：(7-10]分； ②项目背景和现状解读较全面、项目内容及相关技术标 准规范理解较深刻计：(3-7]分； ③项目背景和现状解读不全面、项目内容及相关技术标 准规范理解不深刻计：(0-3]分； ④未提供项目解读和理解内容不得分。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分析论证规划基础、发展环境、发展思路和规划目标，评估规划方案，评估规划的比较优势和制约因素，评估规划实施的资源要素需求，评估规划实施保障措施。 ①主要工作内容阐述详细、分解合理，工作方案针对性强、重点难点分析及应对措施得当计：(10-15]分； ②主要工作内容阐述较详细、分解较合理，工作方案针对性较强、重点难点分析及应对措施较得当计：(5-10]分； ③主要工作内容阐述不详细、分解不合理，工作方案针对性不强、重点难点分析及应对措施不得当计：(0-5]分； ④未提供工作内容及方案不得分。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质量控制及保证措施</w:t>
            </w:r>
          </w:p>
        </w:tc>
        <w:tc>
          <w:tcPr>
            <w:tcW w:type="dxa" w:w="2492"/>
          </w:tcPr>
          <w:p>
            <w:pPr>
              <w:pStyle w:val="null3"/>
            </w:pPr>
            <w:r>
              <w:rPr>
                <w:rFonts w:ascii="仿宋_GB2312" w:hAnsi="仿宋_GB2312" w:cs="仿宋_GB2312" w:eastAsia="仿宋_GB2312"/>
              </w:rPr>
              <w:t>①质量控制及质量保证措施详细、完善、可行，质量目标明确计：(10-15]分； ②质量控制及质量保证措施较详细、较完善、较可行，质量目标较明确计：(5-10]分； ③质量控制及质量保证措施不详细、不完善、不可行，质量目标不明确计：(0-5]分； ④未提供质量控制及保证措施不得分。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①规划设计进度计划详细、科学、合理、可行，进度保证措施完善计：(10-15]分； ②规划设计进度计划较详细、较科学、较合理、较可行，进度保证措施较完善计：(5-10]分； ③规划设计进度计划不详细、不科学、不合理、不可行，进度保证措施不完善计：(0-5]分； ④未提供进度计划及进度保证措施不得分。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针对本项目有严格的保密与安全措施； ①保密与安全措施完善，针对性强、成熟具体的得(3-5]分； ②保密与安全措施较为完善、针对性较好、较为成熟具体的(1-3]分； ③保密与安全措施方案简单、可行性低、不够具体的得(0-1]分； ④未提供保密与安全措施或保密与安全措施完全脱离实际的不得分。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提供2022年7月1日至今类似项目业绩，提供1个业绩，得2分，满分为10分。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1.主要项目负责人具有相关专业（土地规划或城乡规划等相关专业）高级职称的得 2 分，中级职称得 1 分，最高得 2 分。 2.拟投入本项目的其他人员（除项目负责人外）中具有土地规划或城乡规划等相关专业中级及以上工程师职称的，每提供1个计2分，最多得 8 分。 注:以上人员提供职称证复印件并加盖公章，否则不得分。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主要内容为本项目的质量保障措施、后期技术支持、管理改进及配合等相关服务做出承诺。①服务承诺内容详细、清晰、承诺指标明确计：(3-5]分； ②服务承诺内容较详细、较清晰、承诺指标较明确计：(1-3]分； ③服务承诺内容不详细、不清晰、承诺指标不明确计：(0-1]分； ④未提供服务承诺不得分。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①合理化建议贴合实际，有利于项目实施计：(3-5]分； ②合理化建议较贴合实际，较利于项目实施计：(1-3]分； ③合理化建议不贴合实际计：(0-1]分； ④未提供合理化建议不得分。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 满 分10分。 2.投标报价得分=（投标基准价/最终投标报价）×10的公式计算得分。 3. 投标 报价不完整的，不进入评标标准价的计算，本项得0分。 4.经评评标小组一致认定 ，超过 预算金额,其响应将被拒绝。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