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版本号：CTSD2025-FW-03220250804002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合阳县黑池镇“吨粮镇”建设项目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CTSD2025-FW-032</w:t>
      </w:r>
      <w:r>
        <w:br/>
      </w:r>
      <w:r>
        <w:br/>
      </w:r>
      <w:r>
        <w:br/>
      </w:r>
    </w:p>
    <w:p>
      <w:pPr>
        <w:pStyle w:val="null3"/>
        <w:jc w:val="center"/>
        <w:outlineLvl w:val="2"/>
      </w:pPr>
      <w:r>
        <w:rPr>
          <w:rFonts w:ascii="仿宋_GB2312" w:hAnsi="仿宋_GB2312" w:cs="仿宋_GB2312" w:eastAsia="仿宋_GB2312"/>
          <w:sz w:val="28"/>
          <w:b/>
        </w:rPr>
        <w:t>合阳县黑池镇人民政府</w:t>
      </w:r>
    </w:p>
    <w:p>
      <w:pPr>
        <w:pStyle w:val="null3"/>
        <w:jc w:val="center"/>
        <w:outlineLvl w:val="2"/>
      </w:pPr>
      <w:r>
        <w:rPr>
          <w:rFonts w:ascii="仿宋_GB2312" w:hAnsi="仿宋_GB2312" w:cs="仿宋_GB2312" w:eastAsia="仿宋_GB2312"/>
          <w:sz w:val="28"/>
          <w:b/>
        </w:rPr>
        <w:t>城投时代（陕西）项目管理有限公司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城投时代（陕西）项目管理有限公司</w:t>
      </w:r>
      <w:r>
        <w:rPr>
          <w:rFonts w:ascii="仿宋_GB2312" w:hAnsi="仿宋_GB2312" w:cs="仿宋_GB2312" w:eastAsia="仿宋_GB2312"/>
        </w:rPr>
        <w:t>（以下简称“代理机构”）受</w:t>
      </w:r>
      <w:r>
        <w:rPr>
          <w:rFonts w:ascii="仿宋_GB2312" w:hAnsi="仿宋_GB2312" w:cs="仿宋_GB2312" w:eastAsia="仿宋_GB2312"/>
        </w:rPr>
        <w:t>合阳县黑池镇人民政府</w:t>
      </w:r>
      <w:r>
        <w:rPr>
          <w:rFonts w:ascii="仿宋_GB2312" w:hAnsi="仿宋_GB2312" w:cs="仿宋_GB2312" w:eastAsia="仿宋_GB2312"/>
        </w:rPr>
        <w:t>委托，拟对</w:t>
      </w:r>
      <w:r>
        <w:rPr>
          <w:rFonts w:ascii="仿宋_GB2312" w:hAnsi="仿宋_GB2312" w:cs="仿宋_GB2312" w:eastAsia="仿宋_GB2312"/>
        </w:rPr>
        <w:t>合阳县黑池镇“吨粮镇”建设项目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CTSD2025-FW-032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合阳县黑池镇“吨粮镇”建设项目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为推进粮食生产“五良”融合，扩大玉米增密度等技术覆盖面积，带动大面积单产提升，实现粮食生产提质增效。现对合阳县黑池镇“吨粮镇”建设项目进行采购。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采购包3（一喷多促及农业培训）：属于专门面向中小企业采购。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1、法人及委托授权：非法定代表人参加开标的，须提供法定代表人授权委托书及被授权人身份证；法定代表人参加开标时,只须提供法定代表人身份证。 供应商需在项目电子化交易系统中按要求上传相应证明文件并进行电子签章。</w:t>
      </w:r>
    </w:p>
    <w:p>
      <w:pPr>
        <w:pStyle w:val="null3"/>
      </w:pPr>
      <w:r>
        <w:rPr>
          <w:rFonts w:ascii="仿宋_GB2312" w:hAnsi="仿宋_GB2312" w:cs="仿宋_GB2312" w:eastAsia="仿宋_GB2312"/>
        </w:rPr>
        <w:t>2、信用查询：申请人不得为“信用中国”网站（www.creditchina.gov.cn）严重失信主体和重大税收违法失信主体的供应商，不得为中国政府采购网（www.ccgp.gov.cn）政府采购严重违法失信行为记录名单中被财政部门禁止参加政府采购活动的的供应商。 供应商需在项目电子化交易系统中按要求上传相应证明文件并进行电子签章。</w:t>
      </w:r>
    </w:p>
    <w:p>
      <w:pPr>
        <w:pStyle w:val="null3"/>
      </w:pPr>
      <w:r>
        <w:rPr>
          <w:rFonts w:ascii="仿宋_GB2312" w:hAnsi="仿宋_GB2312" w:cs="仿宋_GB2312" w:eastAsia="仿宋_GB2312"/>
        </w:rPr>
        <w:t>3、控股管理关系：单位负责人为同一人或者存在直接控股、管理关系的不同供应商，不得参加本次采购活动。 供应商需在项目电子化交易系统中按要求上传相应证明文件并进行电子签章。</w:t>
      </w:r>
    </w:p>
    <w:p>
      <w:pPr>
        <w:pStyle w:val="null3"/>
      </w:pPr>
      <w:r>
        <w:rPr>
          <w:rFonts w:ascii="仿宋_GB2312" w:hAnsi="仿宋_GB2312" w:cs="仿宋_GB2312" w:eastAsia="仿宋_GB2312"/>
        </w:rPr>
        <w:t>4、联合体：本项目不接受联合体开标，不允许分包。 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1、法人及委托授权：非法定代表人参加开标的，须提供法定代表人授权委托书及被授权人身份证；法定代表人参加开标时,只须提供法定代表人身份证。 供应商需在项目电子化交易系统中按要求上传相应证明文件并进行电子签章。</w:t>
      </w:r>
    </w:p>
    <w:p>
      <w:pPr>
        <w:pStyle w:val="null3"/>
      </w:pPr>
      <w:r>
        <w:rPr>
          <w:rFonts w:ascii="仿宋_GB2312" w:hAnsi="仿宋_GB2312" w:cs="仿宋_GB2312" w:eastAsia="仿宋_GB2312"/>
        </w:rPr>
        <w:t>2、资质要求：供应商须提供所投产品有效期内的肥料登记证（供应商为代理商的提供加盖厂家公章的肥料登记证）</w:t>
      </w:r>
    </w:p>
    <w:p>
      <w:pPr>
        <w:pStyle w:val="null3"/>
      </w:pPr>
      <w:r>
        <w:rPr>
          <w:rFonts w:ascii="仿宋_GB2312" w:hAnsi="仿宋_GB2312" w:cs="仿宋_GB2312" w:eastAsia="仿宋_GB2312"/>
        </w:rPr>
        <w:t>3、信用查询：申请人不得为“信用中国”网站（www.creditchina.gov.cn）严重失信主体和重大税收违法失信主体的供应商，不得为中国政府采购网（www.ccgp.gov.cn）政府采购严重违法失信行为记录名单中被财政部门禁止参加政府采购活动的的供应商。 供应商需在项目电子化交易系统中按要求上传相应证明文件并进行电子签章。</w:t>
      </w:r>
    </w:p>
    <w:p>
      <w:pPr>
        <w:pStyle w:val="null3"/>
      </w:pPr>
      <w:r>
        <w:rPr>
          <w:rFonts w:ascii="仿宋_GB2312" w:hAnsi="仿宋_GB2312" w:cs="仿宋_GB2312" w:eastAsia="仿宋_GB2312"/>
        </w:rPr>
        <w:t>4、控股管理关系：单位负责人为同一人或者存在直接控股、管理关系的不同供应商，不得参加本次采购活动。 供应商需在项目电子化交易系统中按要求上传相应证明文件并进行电子签章。</w:t>
      </w:r>
    </w:p>
    <w:p>
      <w:pPr>
        <w:pStyle w:val="null3"/>
      </w:pPr>
      <w:r>
        <w:rPr>
          <w:rFonts w:ascii="仿宋_GB2312" w:hAnsi="仿宋_GB2312" w:cs="仿宋_GB2312" w:eastAsia="仿宋_GB2312"/>
        </w:rPr>
        <w:t>5、联合体：本项目不接受联合体开标，不允许分包。 供应商需在项目电子化交易系统中按要求上传相应证明文件并进行电子签章。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1、法人及委托授权：非法定代表人参加开标的，须提供法定代表人授权委托书及被授权人身份证；法定代表人参加开标时,只须提供法定代表人身份证。 供应商需在项目电子化交易系统中按要求上传相应证明文件并进行电子签章。</w:t>
      </w:r>
    </w:p>
    <w:p>
      <w:pPr>
        <w:pStyle w:val="null3"/>
      </w:pPr>
      <w:r>
        <w:rPr>
          <w:rFonts w:ascii="仿宋_GB2312" w:hAnsi="仿宋_GB2312" w:cs="仿宋_GB2312" w:eastAsia="仿宋_GB2312"/>
        </w:rPr>
        <w:t>2、资质要求：供应商为生产厂家的须提供农药登记证、农药生产许可证、农药标准证；供应商为经销商的须提供农药经营许可证及生产厂家的农药登记证、农药生产许可证、农药标准证。</w:t>
      </w:r>
    </w:p>
    <w:p>
      <w:pPr>
        <w:pStyle w:val="null3"/>
      </w:pPr>
      <w:r>
        <w:rPr>
          <w:rFonts w:ascii="仿宋_GB2312" w:hAnsi="仿宋_GB2312" w:cs="仿宋_GB2312" w:eastAsia="仿宋_GB2312"/>
        </w:rPr>
        <w:t>3、人员要求：供应商拟派往该项目的操作人员应具有植保无人机系统操作手合格证。</w:t>
      </w:r>
    </w:p>
    <w:p>
      <w:pPr>
        <w:pStyle w:val="null3"/>
      </w:pPr>
      <w:r>
        <w:rPr>
          <w:rFonts w:ascii="仿宋_GB2312" w:hAnsi="仿宋_GB2312" w:cs="仿宋_GB2312" w:eastAsia="仿宋_GB2312"/>
        </w:rPr>
        <w:t>4、信用查询：申请人不得为“信用中国”网站（www.creditchina.gov.cn）严重失信主体和重大税收违法失信主体的供应商，不得为中国政府采购网（www.ccgp.gov.cn）政府采购严重违法失信行为记录名单中被财政部门禁止参加政府采购活动的的供应商。 供应商需在项目电子化交易系统中按要求上传相应证明文件并进行电子签章。</w:t>
      </w:r>
    </w:p>
    <w:p>
      <w:pPr>
        <w:pStyle w:val="null3"/>
      </w:pPr>
      <w:r>
        <w:rPr>
          <w:rFonts w:ascii="仿宋_GB2312" w:hAnsi="仿宋_GB2312" w:cs="仿宋_GB2312" w:eastAsia="仿宋_GB2312"/>
        </w:rPr>
        <w:t>5、控股管理关系：单位负责人为同一人或者存在直接控股、管理关系的不同供应商，不得参加本次采购活动。 供应商需在项目电子化交易系统中按要求上传相应证明文件并进行电子签章。</w:t>
      </w:r>
    </w:p>
    <w:p>
      <w:pPr>
        <w:pStyle w:val="null3"/>
      </w:pPr>
      <w:r>
        <w:rPr>
          <w:rFonts w:ascii="仿宋_GB2312" w:hAnsi="仿宋_GB2312" w:cs="仿宋_GB2312" w:eastAsia="仿宋_GB2312"/>
        </w:rPr>
        <w:t>6、联合体：本项目不接受联合体开标，不允许分包。 供应商需在项目电子化交易系统中按要求上传相应证明文件并进行电子签章。</w:t>
      </w:r>
    </w:p>
    <w:p>
      <w:pPr>
        <w:pStyle w:val="null3"/>
      </w:pPr>
      <w:r>
        <w:rPr>
          <w:rFonts w:ascii="仿宋_GB2312" w:hAnsi="仿宋_GB2312" w:cs="仿宋_GB2312" w:eastAsia="仿宋_GB2312"/>
        </w:rPr>
        <w:t>7、中小企业：本合同包专门面向中小企业</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合阳县黑池镇人民政府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陕西省渭南市合阳县黑池镇中心街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合阳县黑池镇人民政府经办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09135671006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城投时代（陕西）项目管理有限公司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陕西省西安市经济技术开发区凤城七路联益中心5楼501室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02989160083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成文强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13409130025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采购包1：248,000.00元</w:t>
            </w:r>
          </w:p>
          <w:p>
            <w:pPr>
              <w:pStyle w:val="null3"/>
            </w:pPr>
            <w:r>
              <w:rPr>
                <w:rFonts w:ascii="仿宋_GB2312" w:hAnsi="仿宋_GB2312" w:cs="仿宋_GB2312" w:eastAsia="仿宋_GB2312"/>
              </w:rPr>
              <w:t>采购包2：1,080,000.00元</w:t>
            </w:r>
          </w:p>
          <w:p>
            <w:pPr>
              <w:pStyle w:val="null3"/>
            </w:pPr>
            <w:r>
              <w:rPr>
                <w:rFonts w:ascii="仿宋_GB2312" w:hAnsi="仿宋_GB2312" w:cs="仿宋_GB2312" w:eastAsia="仿宋_GB2312"/>
              </w:rPr>
              <w:t>采购包3：1,672,000.00元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代理服务费收费标准：交费金额参照国家计委颁布的《招标代理服务收费管理暂行办法》（计价格[2002]1980号）的规定标准收取。不足5000元按5000元计取。 成交单位的代理服务费缴纳信息： 银行户名：城投时代（陕西）项目管理有限公司 开户银行：平安银行西安经济技术开发区支行 账号：15014069400074 联系电话：029-89160083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合阳县黑池镇人民政府</w:t>
      </w:r>
      <w:r>
        <w:rPr>
          <w:rFonts w:ascii="仿宋_GB2312" w:hAnsi="仿宋_GB2312" w:cs="仿宋_GB2312" w:eastAsia="仿宋_GB2312"/>
        </w:rPr>
        <w:t>和</w:t>
      </w:r>
      <w:r>
        <w:rPr>
          <w:rFonts w:ascii="仿宋_GB2312" w:hAnsi="仿宋_GB2312" w:cs="仿宋_GB2312" w:eastAsia="仿宋_GB2312"/>
        </w:rPr>
        <w:t>城投时代（陕西）项目管理有限公司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合阳县黑池镇人民政府</w:t>
      </w:r>
      <w:r>
        <w:rPr>
          <w:rFonts w:ascii="仿宋_GB2312" w:hAnsi="仿宋_GB2312" w:cs="仿宋_GB2312" w:eastAsia="仿宋_GB2312"/>
        </w:rPr>
        <w:t>负责解释。除上述招标文件内容，其他内容由</w:t>
      </w:r>
      <w:r>
        <w:rPr>
          <w:rFonts w:ascii="仿宋_GB2312" w:hAnsi="仿宋_GB2312" w:cs="仿宋_GB2312" w:eastAsia="仿宋_GB2312"/>
        </w:rPr>
        <w:t>城投时代（陕西）项目管理有限公司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合阳县黑池镇人民政府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城投时代（陕西）项目管理有限公司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达到国家现行行业验收规范“合格”标准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达到国家现行行业验收规范“合格”标准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达到国家现行行业验收规范“合格”标准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联系人：朱工</w:t>
      </w:r>
    </w:p>
    <w:p>
      <w:pPr>
        <w:pStyle w:val="null3"/>
      </w:pPr>
      <w:r>
        <w:rPr>
          <w:rFonts w:ascii="仿宋_GB2312" w:hAnsi="仿宋_GB2312" w:cs="仿宋_GB2312" w:eastAsia="仿宋_GB2312"/>
        </w:rPr>
        <w:t>联系电话：02989160083</w:t>
      </w:r>
    </w:p>
    <w:p>
      <w:pPr>
        <w:pStyle w:val="null3"/>
      </w:pPr>
      <w:r>
        <w:rPr>
          <w:rFonts w:ascii="仿宋_GB2312" w:hAnsi="仿宋_GB2312" w:cs="仿宋_GB2312" w:eastAsia="仿宋_GB2312"/>
        </w:rPr>
        <w:t>地址：陕西省西安市未央区凤城七路联益中心5楼501室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为推进粮食生产“五良”融合，扩大玉米增密度等技术覆盖面积，带动大面积单产提升，实现粮食生产提质增效。现对合阳县黑池镇“吨粮镇”建设项目进行采购。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248,000.00</w:t>
      </w:r>
    </w:p>
    <w:p>
      <w:pPr>
        <w:pStyle w:val="null3"/>
      </w:pPr>
      <w:r>
        <w:rPr>
          <w:rFonts w:ascii="仿宋_GB2312" w:hAnsi="仿宋_GB2312" w:cs="仿宋_GB2312" w:eastAsia="仿宋_GB2312"/>
        </w:rPr>
        <w:t>采购包最高限价（元）: 248,000.00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合阳县黑池镇“吨粮镇”建设项目-四情监测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1,080,000.00</w:t>
      </w:r>
    </w:p>
    <w:p>
      <w:pPr>
        <w:pStyle w:val="null3"/>
      </w:pPr>
      <w:r>
        <w:rPr>
          <w:rFonts w:ascii="仿宋_GB2312" w:hAnsi="仿宋_GB2312" w:cs="仿宋_GB2312" w:eastAsia="仿宋_GB2312"/>
        </w:rPr>
        <w:t>采购包最高限价（元）: 1,080,000.00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合阳县黑池镇“吨粮镇”建设项目-有机肥及无人机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1,672,000.00</w:t>
      </w:r>
    </w:p>
    <w:p>
      <w:pPr>
        <w:pStyle w:val="null3"/>
      </w:pPr>
      <w:r>
        <w:rPr>
          <w:rFonts w:ascii="仿宋_GB2312" w:hAnsi="仿宋_GB2312" w:cs="仿宋_GB2312" w:eastAsia="仿宋_GB2312"/>
        </w:rPr>
        <w:t>采购包最高限价（元）: 1,672,000.00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合阳县黑池镇“吨粮镇”建设项目-一喷多促及农业培训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1,672,000.00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标的名称：合阳县黑池镇“吨粮镇”建设项目-四情监测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511"/>
              <w:gridCol w:w="511"/>
              <w:gridCol w:w="511"/>
              <w:gridCol w:w="511"/>
              <w:gridCol w:w="511"/>
            </w:tblGrid>
            <w:tr>
              <w:tc>
                <w:tcPr>
                  <w:tcW w:type="dxa" w:w="2555"/>
                  <w:gridSpan w:val="5"/>
                </w:tcPr>
                <w:p>
                  <w:pPr>
                    <w:pStyle w:val="null3"/>
                    <w:jc w:val="center"/>
                  </w:pPr>
                  <w:r>
                    <w:rPr>
                      <w:rFonts w:ascii="仿宋_GB2312" w:hAnsi="仿宋_GB2312" w:cs="仿宋_GB2312" w:eastAsia="仿宋_GB2312"/>
                      <w:b/>
                    </w:rPr>
                    <w:t>四情监测</w:t>
                  </w:r>
                </w:p>
              </w:tc>
            </w:tr>
            <w:tr>
              <w:tc>
                <w:tcPr>
                  <w:tcW w:type="dxa" w:w="511"/>
                </w:tcPr>
                <w:p>
                  <w:pPr>
                    <w:pStyle w:val="null3"/>
                  </w:pPr>
                  <w:r>
                    <w:rPr>
                      <w:rFonts w:ascii="仿宋_GB2312" w:hAnsi="仿宋_GB2312" w:cs="仿宋_GB2312" w:eastAsia="仿宋_GB2312"/>
                    </w:rPr>
                    <w:t>序号</w:t>
                  </w:r>
                </w:p>
              </w:tc>
              <w:tc>
                <w:tcPr>
                  <w:tcW w:type="dxa" w:w="1022"/>
                  <w:gridSpan w:val="2"/>
                </w:tcPr>
                <w:p>
                  <w:pPr>
                    <w:pStyle w:val="null3"/>
                  </w:pPr>
                  <w:r>
                    <w:rPr>
                      <w:rFonts w:ascii="仿宋_GB2312" w:hAnsi="仿宋_GB2312" w:cs="仿宋_GB2312" w:eastAsia="仿宋_GB2312"/>
                    </w:rPr>
                    <w:t>规格</w:t>
                  </w:r>
                </w:p>
              </w:tc>
              <w:tc>
                <w:tcPr>
                  <w:tcW w:type="dxa" w:w="511"/>
                </w:tcPr>
                <w:p>
                  <w:pPr>
                    <w:pStyle w:val="null3"/>
                  </w:pPr>
                  <w:r>
                    <w:rPr>
                      <w:rFonts w:ascii="仿宋_GB2312" w:hAnsi="仿宋_GB2312" w:cs="仿宋_GB2312" w:eastAsia="仿宋_GB2312"/>
                    </w:rPr>
                    <w:t>单位</w:t>
                  </w:r>
                </w:p>
              </w:tc>
              <w:tc>
                <w:tcPr>
                  <w:tcW w:type="dxa" w:w="511"/>
                </w:tcPr>
                <w:p>
                  <w:pPr>
                    <w:pStyle w:val="null3"/>
                  </w:pPr>
                  <w:r>
                    <w:rPr>
                      <w:rFonts w:ascii="仿宋_GB2312" w:hAnsi="仿宋_GB2312" w:cs="仿宋_GB2312" w:eastAsia="仿宋_GB2312"/>
                    </w:rPr>
                    <w:t>数量</w:t>
                  </w:r>
                </w:p>
              </w:tc>
            </w:tr>
            <w:tr>
              <w:tc>
                <w:tcPr>
                  <w:tcW w:type="dxa" w:w="2555"/>
                  <w:gridSpan w:val="5"/>
                </w:tcPr>
                <w:p>
                  <w:pPr>
                    <w:pStyle w:val="null3"/>
                  </w:pPr>
                  <w:r>
                    <w:rPr>
                      <w:rFonts w:ascii="仿宋_GB2312" w:hAnsi="仿宋_GB2312" w:cs="仿宋_GB2312" w:eastAsia="仿宋_GB2312"/>
                    </w:rPr>
                    <w:t>墒情监测系统</w:t>
                  </w:r>
                </w:p>
              </w:tc>
            </w:tr>
            <w:tr>
              <w:tc>
                <w:tcPr>
                  <w:tcW w:type="dxa" w:w="511"/>
                </w:tcPr>
                <w:p>
                  <w:pPr>
                    <w:pStyle w:val="null3"/>
                  </w:pPr>
                  <w:r>
                    <w:rPr>
                      <w:rFonts w:ascii="仿宋_GB2312" w:hAnsi="仿宋_GB2312" w:cs="仿宋_GB2312" w:eastAsia="仿宋_GB2312"/>
                    </w:rPr>
                    <w:t xml:space="preserve">1 </w:t>
                  </w:r>
                </w:p>
              </w:tc>
              <w:tc>
                <w:tcPr>
                  <w:tcW w:type="dxa" w:w="1022"/>
                  <w:gridSpan w:val="2"/>
                </w:tcPr>
                <w:p>
                  <w:pPr>
                    <w:pStyle w:val="null3"/>
                  </w:pPr>
                  <w:r>
                    <w:rPr>
                      <w:rFonts w:ascii="仿宋_GB2312" w:hAnsi="仿宋_GB2312" w:cs="仿宋_GB2312" w:eastAsia="仿宋_GB2312"/>
                    </w:rPr>
                    <w:t>土壤墒情站</w:t>
                  </w:r>
                  <w:r>
                    <w:br/>
                  </w:r>
                  <w:r>
                    <w:rPr>
                      <w:rFonts w:ascii="仿宋_GB2312" w:hAnsi="仿宋_GB2312" w:cs="仿宋_GB2312" w:eastAsia="仿宋_GB2312"/>
                    </w:rPr>
                    <w:t xml:space="preserve"> 1.可监测项：单层土壤温度、土壤湿度、土壤PH值、土壤氮含量、土壤钾含量、土壤磷含量等6项参数。配置一体式数据集中及传输模块，保证整体系统稳定，参数可可根据客户需求定制。</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 xml:space="preserve">1 </w:t>
                  </w:r>
                </w:p>
              </w:tc>
            </w:tr>
            <w:tr>
              <w:tc>
                <w:tcPr>
                  <w:tcW w:type="dxa" w:w="2555"/>
                  <w:gridSpan w:val="5"/>
                </w:tcPr>
                <w:p>
                  <w:pPr>
                    <w:pStyle w:val="null3"/>
                  </w:pPr>
                  <w:r>
                    <w:rPr>
                      <w:rFonts w:ascii="仿宋_GB2312" w:hAnsi="仿宋_GB2312" w:cs="仿宋_GB2312" w:eastAsia="仿宋_GB2312"/>
                    </w:rPr>
                    <w:t>自动虫情测报灯</w:t>
                  </w:r>
                </w:p>
              </w:tc>
            </w:tr>
            <w:tr>
              <w:tc>
                <w:tcPr>
                  <w:tcW w:type="dxa" w:w="511"/>
                </w:tcPr>
                <w:p>
                  <w:pPr>
                    <w:pStyle w:val="null3"/>
                  </w:pPr>
                  <w:r>
                    <w:rPr>
                      <w:rFonts w:ascii="仿宋_GB2312" w:hAnsi="仿宋_GB2312" w:cs="仿宋_GB2312" w:eastAsia="仿宋_GB2312"/>
                    </w:rPr>
                    <w:t xml:space="preserve">2 </w:t>
                  </w:r>
                </w:p>
              </w:tc>
              <w:tc>
                <w:tcPr>
                  <w:tcW w:type="dxa" w:w="1022"/>
                  <w:gridSpan w:val="2"/>
                </w:tcPr>
                <w:p>
                  <w:pPr>
                    <w:pStyle w:val="null3"/>
                  </w:pPr>
                  <w:r>
                    <w:rPr>
                      <w:rFonts w:ascii="仿宋_GB2312" w:hAnsi="仿宋_GB2312" w:cs="仿宋_GB2312" w:eastAsia="仿宋_GB2312"/>
                    </w:rPr>
                    <w:t>虫情测报灯</w:t>
                  </w:r>
                  <w:r>
                    <w:br/>
                  </w:r>
                  <w:r>
                    <w:rPr>
                      <w:rFonts w:ascii="仿宋_GB2312" w:hAnsi="仿宋_GB2312" w:cs="仿宋_GB2312" w:eastAsia="仿宋_GB2312"/>
                    </w:rPr>
                    <w:t xml:space="preserve"> 1.《GB/T 24689.1-2009 植物保护机械虫情测报灯》国家标准，整体结构采用镀锌喷塑工艺，长时间野外使用不生锈。</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 xml:space="preserve">1 </w:t>
                  </w:r>
                </w:p>
              </w:tc>
            </w:tr>
            <w:tr>
              <w:tc>
                <w:tcPr>
                  <w:tcW w:type="dxa" w:w="511"/>
                </w:tcPr>
                <w:p>
                  <w:pPr>
                    <w:pStyle w:val="null3"/>
                  </w:pPr>
                  <w:r>
                    <w:rPr>
                      <w:rFonts w:ascii="仿宋_GB2312" w:hAnsi="仿宋_GB2312" w:cs="仿宋_GB2312" w:eastAsia="仿宋_GB2312"/>
                    </w:rPr>
                    <w:t xml:space="preserve">3 </w:t>
                  </w:r>
                </w:p>
              </w:tc>
              <w:tc>
                <w:tcPr>
                  <w:tcW w:type="dxa" w:w="1022"/>
                  <w:gridSpan w:val="2"/>
                </w:tcPr>
                <w:p>
                  <w:pPr>
                    <w:pStyle w:val="null3"/>
                  </w:pPr>
                  <w:r>
                    <w:rPr>
                      <w:rFonts w:ascii="仿宋_GB2312" w:hAnsi="仿宋_GB2312" w:cs="仿宋_GB2312" w:eastAsia="仿宋_GB2312"/>
                    </w:rPr>
                    <w:t>太阳能供电系统</w:t>
                  </w:r>
                  <w:r>
                    <w:br/>
                  </w:r>
                  <w:r>
                    <w:rPr>
                      <w:rFonts w:ascii="仿宋_GB2312" w:hAnsi="仿宋_GB2312" w:cs="仿宋_GB2312" w:eastAsia="仿宋_GB2312"/>
                    </w:rPr>
                    <w:t xml:space="preserve"> 400W-200AH套装系统套装，带安装立杆。</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 xml:space="preserve">1 </w:t>
                  </w:r>
                </w:p>
              </w:tc>
            </w:tr>
            <w:tr>
              <w:tc>
                <w:tcPr>
                  <w:tcW w:type="dxa" w:w="2555"/>
                  <w:gridSpan w:val="5"/>
                </w:tcPr>
                <w:p>
                  <w:pPr>
                    <w:pStyle w:val="null3"/>
                  </w:pPr>
                  <w:r>
                    <w:rPr>
                      <w:rFonts w:ascii="仿宋_GB2312" w:hAnsi="仿宋_GB2312" w:cs="仿宋_GB2312" w:eastAsia="仿宋_GB2312"/>
                    </w:rPr>
                    <w:t>黏虫监测仪</w:t>
                  </w:r>
                </w:p>
              </w:tc>
            </w:tr>
            <w:tr>
              <w:tc>
                <w:tcPr>
                  <w:tcW w:type="dxa" w:w="511"/>
                </w:tcPr>
                <w:p>
                  <w:pPr>
                    <w:pStyle w:val="null3"/>
                  </w:pPr>
                  <w:r>
                    <w:rPr>
                      <w:rFonts w:ascii="仿宋_GB2312" w:hAnsi="仿宋_GB2312" w:cs="仿宋_GB2312" w:eastAsia="仿宋_GB2312"/>
                    </w:rPr>
                    <w:t xml:space="preserve">4 </w:t>
                  </w:r>
                </w:p>
              </w:tc>
              <w:tc>
                <w:tcPr>
                  <w:tcW w:type="dxa" w:w="1022"/>
                  <w:gridSpan w:val="2"/>
                </w:tcPr>
                <w:p>
                  <w:pPr>
                    <w:pStyle w:val="null3"/>
                  </w:pPr>
                  <w:r>
                    <w:rPr>
                      <w:rFonts w:ascii="仿宋_GB2312" w:hAnsi="仿宋_GB2312" w:cs="仿宋_GB2312" w:eastAsia="仿宋_GB2312"/>
                    </w:rPr>
                    <w:t>黏虫监测仪</w:t>
                  </w:r>
                  <w:r>
                    <w:br/>
                  </w:r>
                  <w:r>
                    <w:rPr>
                      <w:rFonts w:ascii="仿宋_GB2312" w:hAnsi="仿宋_GB2312" w:cs="仿宋_GB2312" w:eastAsia="仿宋_GB2312"/>
                    </w:rPr>
                    <w:t xml:space="preserve"> 1.整体采用热镀锌喷塑材质</w:t>
                  </w:r>
                  <w:r>
                    <w:br/>
                  </w:r>
                  <w:r>
                    <w:rPr>
                      <w:rFonts w:ascii="仿宋_GB2312" w:hAnsi="仿宋_GB2312" w:cs="仿宋_GB2312" w:eastAsia="仿宋_GB2312"/>
                    </w:rPr>
                    <w:t xml:space="preserve"> 2.整机高度≥3m，高度可调1.5m-2m之间</w:t>
                  </w:r>
                  <w:r>
                    <w:br/>
                  </w:r>
                  <w:r>
                    <w:rPr>
                      <w:rFonts w:ascii="仿宋_GB2312" w:hAnsi="仿宋_GB2312" w:cs="仿宋_GB2312" w:eastAsia="仿宋_GB2312"/>
                    </w:rPr>
                    <w:t xml:space="preserve"> 3.供电方式:12v直流供电，太阳能电池板功率≥60W。</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 xml:space="preserve">1 </w:t>
                  </w:r>
                </w:p>
              </w:tc>
            </w:tr>
            <w:tr>
              <w:tc>
                <w:tcPr>
                  <w:tcW w:type="dxa" w:w="2555"/>
                  <w:gridSpan w:val="5"/>
                </w:tcPr>
                <w:p>
                  <w:pPr>
                    <w:pStyle w:val="null3"/>
                  </w:pPr>
                  <w:r>
                    <w:rPr>
                      <w:rFonts w:ascii="仿宋_GB2312" w:hAnsi="仿宋_GB2312" w:cs="仿宋_GB2312" w:eastAsia="仿宋_GB2312"/>
                    </w:rPr>
                    <w:t>小麦条锈病监测仪</w:t>
                  </w:r>
                </w:p>
              </w:tc>
            </w:tr>
            <w:tr>
              <w:tc>
                <w:tcPr>
                  <w:tcW w:type="dxa" w:w="511"/>
                </w:tcPr>
                <w:p>
                  <w:pPr>
                    <w:pStyle w:val="null3"/>
                  </w:pPr>
                  <w:r>
                    <w:rPr>
                      <w:rFonts w:ascii="仿宋_GB2312" w:hAnsi="仿宋_GB2312" w:cs="仿宋_GB2312" w:eastAsia="仿宋_GB2312"/>
                    </w:rPr>
                    <w:t xml:space="preserve">5 </w:t>
                  </w:r>
                </w:p>
              </w:tc>
              <w:tc>
                <w:tcPr>
                  <w:tcW w:type="dxa" w:w="1022"/>
                  <w:gridSpan w:val="2"/>
                </w:tcPr>
                <w:p>
                  <w:pPr>
                    <w:pStyle w:val="null3"/>
                  </w:pPr>
                  <w:r>
                    <w:rPr>
                      <w:rFonts w:ascii="仿宋_GB2312" w:hAnsi="仿宋_GB2312" w:cs="仿宋_GB2312" w:eastAsia="仿宋_GB2312"/>
                    </w:rPr>
                    <w:t>小麦条锈病监测仪</w:t>
                  </w:r>
                  <w:r>
                    <w:br/>
                  </w:r>
                  <w:r>
                    <w:rPr>
                      <w:rFonts w:ascii="仿宋_GB2312" w:hAnsi="仿宋_GB2312" w:cs="仿宋_GB2312" w:eastAsia="仿宋_GB2312"/>
                    </w:rPr>
                    <w:t xml:space="preserve"> 1.多参数设置，可设置采集时间间隔、服务器地址等参数。数据自动保存。</w:t>
                  </w:r>
                </w:p>
                <w:p>
                  <w:pPr>
                    <w:pStyle w:val="null3"/>
                  </w:pPr>
                  <w:r>
                    <w:rPr>
                      <w:rFonts w:ascii="仿宋_GB2312" w:hAnsi="仿宋_GB2312" w:cs="仿宋_GB2312" w:eastAsia="仿宋_GB2312"/>
                    </w:rPr>
                    <w:t>2.所有采集参数</w:t>
                  </w:r>
                  <w:r>
                    <w:br/>
                  </w:r>
                  <w:r>
                    <w:rPr>
                      <w:rFonts w:ascii="仿宋_GB2312" w:hAnsi="仿宋_GB2312" w:cs="仿宋_GB2312" w:eastAsia="仿宋_GB2312"/>
                    </w:rPr>
                    <w:t xml:space="preserve"> 同一屏幕显示。数据自动采集、实时显示。</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 xml:space="preserve">1 </w:t>
                  </w:r>
                </w:p>
              </w:tc>
            </w:tr>
            <w:tr>
              <w:tc>
                <w:tcPr>
                  <w:tcW w:type="dxa" w:w="2555"/>
                  <w:gridSpan w:val="5"/>
                </w:tcPr>
                <w:p>
                  <w:pPr>
                    <w:pStyle w:val="null3"/>
                  </w:pPr>
                  <w:r>
                    <w:rPr>
                      <w:rFonts w:ascii="仿宋_GB2312" w:hAnsi="仿宋_GB2312" w:cs="仿宋_GB2312" w:eastAsia="仿宋_GB2312"/>
                    </w:rPr>
                    <w:t>螟监测仪</w:t>
                  </w:r>
                </w:p>
              </w:tc>
            </w:tr>
            <w:tr>
              <w:tc>
                <w:tcPr>
                  <w:tcW w:type="dxa" w:w="511"/>
                </w:tcPr>
                <w:p>
                  <w:pPr>
                    <w:pStyle w:val="null3"/>
                  </w:pPr>
                  <w:r>
                    <w:rPr>
                      <w:rFonts w:ascii="仿宋_GB2312" w:hAnsi="仿宋_GB2312" w:cs="仿宋_GB2312" w:eastAsia="仿宋_GB2312"/>
                    </w:rPr>
                    <w:t xml:space="preserve">6 </w:t>
                  </w:r>
                </w:p>
              </w:tc>
              <w:tc>
                <w:tcPr>
                  <w:tcW w:type="dxa" w:w="1022"/>
                  <w:gridSpan w:val="2"/>
                </w:tcPr>
                <w:p>
                  <w:pPr>
                    <w:pStyle w:val="null3"/>
                  </w:pPr>
                  <w:r>
                    <w:rPr>
                      <w:rFonts w:ascii="仿宋_GB2312" w:hAnsi="仿宋_GB2312" w:cs="仿宋_GB2312" w:eastAsia="仿宋_GB2312"/>
                    </w:rPr>
                    <w:t>小麦螟监测仪</w:t>
                  </w:r>
                  <w:r>
                    <w:br/>
                  </w:r>
                  <w:r>
                    <w:rPr>
                      <w:rFonts w:ascii="仿宋_GB2312" w:hAnsi="仿宋_GB2312" w:cs="仿宋_GB2312" w:eastAsia="仿宋_GB2312"/>
                    </w:rPr>
                    <w:t xml:space="preserve"> 1.满足 GB/T 24689.1-2009植物保护机械虫情测报灯标准中安全要求和技术要求。</w:t>
                  </w:r>
                  <w:r>
                    <w:br/>
                  </w:r>
                  <w:r>
                    <w:rPr>
                      <w:rFonts w:ascii="仿宋_GB2312" w:hAnsi="仿宋_GB2312" w:cs="仿宋_GB2312" w:eastAsia="仿宋_GB2312"/>
                    </w:rPr>
                    <w:t xml:space="preserve"> 2.整体结构采用镀锌喷塑。</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 xml:space="preserve">1 </w:t>
                  </w:r>
                </w:p>
              </w:tc>
            </w:tr>
            <w:tr>
              <w:tc>
                <w:tcPr>
                  <w:tcW w:type="dxa" w:w="511"/>
                </w:tcPr>
                <w:p>
                  <w:pPr>
                    <w:pStyle w:val="null3"/>
                  </w:pPr>
                  <w:r>
                    <w:rPr>
                      <w:rFonts w:ascii="仿宋_GB2312" w:hAnsi="仿宋_GB2312" w:cs="仿宋_GB2312" w:eastAsia="仿宋_GB2312"/>
                    </w:rPr>
                    <w:t xml:space="preserve">7 </w:t>
                  </w:r>
                </w:p>
              </w:tc>
              <w:tc>
                <w:tcPr>
                  <w:tcW w:type="dxa" w:w="1022"/>
                  <w:gridSpan w:val="2"/>
                </w:tcPr>
                <w:p>
                  <w:pPr>
                    <w:pStyle w:val="null3"/>
                  </w:pPr>
                  <w:r>
                    <w:rPr>
                      <w:rFonts w:ascii="仿宋_GB2312" w:hAnsi="仿宋_GB2312" w:cs="仿宋_GB2312" w:eastAsia="仿宋_GB2312"/>
                    </w:rPr>
                    <w:t>太阳能供电系统</w:t>
                  </w:r>
                  <w:r>
                    <w:br/>
                  </w:r>
                  <w:r>
                    <w:rPr>
                      <w:rFonts w:ascii="仿宋_GB2312" w:hAnsi="仿宋_GB2312" w:cs="仿宋_GB2312" w:eastAsia="仿宋_GB2312"/>
                    </w:rPr>
                    <w:t xml:space="preserve"> 400W-200AH套装系统套装，带安装立杆</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 xml:space="preserve">1 </w:t>
                  </w:r>
                </w:p>
              </w:tc>
            </w:tr>
            <w:tr>
              <w:tc>
                <w:tcPr>
                  <w:tcW w:type="dxa" w:w="2555"/>
                  <w:gridSpan w:val="5"/>
                </w:tcPr>
                <w:p>
                  <w:pPr>
                    <w:pStyle w:val="null3"/>
                  </w:pPr>
                  <w:r>
                    <w:rPr>
                      <w:rFonts w:ascii="仿宋_GB2312" w:hAnsi="仿宋_GB2312" w:cs="仿宋_GB2312" w:eastAsia="仿宋_GB2312"/>
                    </w:rPr>
                    <w:t>户外气象站</w:t>
                  </w:r>
                </w:p>
              </w:tc>
            </w:tr>
            <w:tr>
              <w:tc>
                <w:tcPr>
                  <w:tcW w:type="dxa" w:w="511"/>
                </w:tcPr>
                <w:p>
                  <w:pPr>
                    <w:pStyle w:val="null3"/>
                  </w:pPr>
                  <w:r>
                    <w:rPr>
                      <w:rFonts w:ascii="仿宋_GB2312" w:hAnsi="仿宋_GB2312" w:cs="仿宋_GB2312" w:eastAsia="仿宋_GB2312"/>
                    </w:rPr>
                    <w:t xml:space="preserve">8 </w:t>
                  </w:r>
                </w:p>
              </w:tc>
              <w:tc>
                <w:tcPr>
                  <w:tcW w:type="dxa" w:w="1022"/>
                  <w:gridSpan w:val="2"/>
                </w:tcPr>
                <w:p>
                  <w:pPr>
                    <w:pStyle w:val="null3"/>
                  </w:pPr>
                  <w:r>
                    <w:rPr>
                      <w:rFonts w:ascii="仿宋_GB2312" w:hAnsi="仿宋_GB2312" w:cs="仿宋_GB2312" w:eastAsia="仿宋_GB2312"/>
                    </w:rPr>
                    <w:t>户外气象站</w:t>
                  </w:r>
                  <w:r>
                    <w:br/>
                  </w:r>
                  <w:r>
                    <w:rPr>
                      <w:rFonts w:ascii="仿宋_GB2312" w:hAnsi="仿宋_GB2312" w:cs="仿宋_GB2312" w:eastAsia="仿宋_GB2312"/>
                    </w:rPr>
                    <w:t xml:space="preserve"> 1.可监测项:风力</w:t>
                  </w:r>
                  <w:r>
                    <w:br/>
                  </w:r>
                  <w:r>
                    <w:rPr>
                      <w:rFonts w:ascii="仿宋_GB2312" w:hAnsi="仿宋_GB2312" w:cs="仿宋_GB2312" w:eastAsia="仿宋_GB2312"/>
                    </w:rPr>
                    <w:t xml:space="preserve"> 2.风向</w:t>
                  </w:r>
                  <w:r>
                    <w:br/>
                  </w:r>
                  <w:r>
                    <w:rPr>
                      <w:rFonts w:ascii="仿宋_GB2312" w:hAnsi="仿宋_GB2312" w:cs="仿宋_GB2312" w:eastAsia="仿宋_GB2312"/>
                    </w:rPr>
                    <w:t xml:space="preserve"> 3.光照强度</w:t>
                  </w:r>
                  <w:r>
                    <w:br/>
                  </w:r>
                  <w:r>
                    <w:rPr>
                      <w:rFonts w:ascii="仿宋_GB2312" w:hAnsi="仿宋_GB2312" w:cs="仿宋_GB2312" w:eastAsia="仿宋_GB2312"/>
                    </w:rPr>
                    <w:t xml:space="preserve"> 4.二氧化碳</w:t>
                  </w:r>
                  <w:r>
                    <w:br/>
                  </w:r>
                  <w:r>
                    <w:rPr>
                      <w:rFonts w:ascii="仿宋_GB2312" w:hAnsi="仿宋_GB2312" w:cs="仿宋_GB2312" w:eastAsia="仿宋_GB2312"/>
                    </w:rPr>
                    <w:t xml:space="preserve"> 5.空气温度</w:t>
                  </w:r>
                  <w:r>
                    <w:br/>
                  </w:r>
                  <w:r>
                    <w:rPr>
                      <w:rFonts w:ascii="仿宋_GB2312" w:hAnsi="仿宋_GB2312" w:cs="仿宋_GB2312" w:eastAsia="仿宋_GB2312"/>
                    </w:rPr>
                    <w:t xml:space="preserve"> 6.空气湿度</w:t>
                  </w:r>
                  <w:r>
                    <w:br/>
                  </w:r>
                  <w:r>
                    <w:rPr>
                      <w:rFonts w:ascii="仿宋_GB2312" w:hAnsi="仿宋_GB2312" w:cs="仿宋_GB2312" w:eastAsia="仿宋_GB2312"/>
                    </w:rPr>
                    <w:t xml:space="preserve"> 7.雨量等</w:t>
                  </w:r>
                  <w:r>
                    <w:br/>
                  </w:r>
                  <w:r>
                    <w:rPr>
                      <w:rFonts w:ascii="仿宋_GB2312" w:hAnsi="仿宋_GB2312" w:cs="仿宋_GB2312" w:eastAsia="仿宋_GB2312"/>
                    </w:rPr>
                    <w:t xml:space="preserve"> 8.配置一体式数据集中及传输模块</w:t>
                  </w:r>
                  <w:r>
                    <w:br/>
                  </w:r>
                  <w:r>
                    <w:rPr>
                      <w:rFonts w:ascii="仿宋_GB2312" w:hAnsi="仿宋_GB2312" w:cs="仿宋_GB2312" w:eastAsia="仿宋_GB2312"/>
                    </w:rPr>
                    <w:t xml:space="preserve"> 9.保证整体系统稳定。参数可根据客户需求进行定制</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 xml:space="preserve">1 </w:t>
                  </w:r>
                </w:p>
              </w:tc>
            </w:tr>
            <w:tr>
              <w:tc>
                <w:tcPr>
                  <w:tcW w:type="dxa" w:w="511"/>
                </w:tcPr>
                <w:p>
                  <w:pPr>
                    <w:pStyle w:val="null3"/>
                  </w:pPr>
                  <w:r>
                    <w:rPr>
                      <w:rFonts w:ascii="仿宋_GB2312" w:hAnsi="仿宋_GB2312" w:cs="仿宋_GB2312" w:eastAsia="仿宋_GB2312"/>
                    </w:rPr>
                    <w:t xml:space="preserve">9 </w:t>
                  </w:r>
                </w:p>
              </w:tc>
              <w:tc>
                <w:tcPr>
                  <w:tcW w:type="dxa" w:w="1022"/>
                  <w:gridSpan w:val="2"/>
                </w:tcPr>
                <w:p>
                  <w:pPr>
                    <w:pStyle w:val="null3"/>
                  </w:pPr>
                  <w:r>
                    <w:rPr>
                      <w:rFonts w:ascii="仿宋_GB2312" w:hAnsi="仿宋_GB2312" w:cs="仿宋_GB2312" w:eastAsia="仿宋_GB2312"/>
                    </w:rPr>
                    <w:t>LED显示屏</w:t>
                  </w:r>
                  <w:r>
                    <w:br/>
                  </w:r>
                  <w:r>
                    <w:rPr>
                      <w:rFonts w:ascii="仿宋_GB2312" w:hAnsi="仿宋_GB2312" w:cs="仿宋_GB2312" w:eastAsia="仿宋_GB2312"/>
                    </w:rPr>
                    <w:t xml:space="preserve"> 气象站用LED单色显示屏，安装在气象站立杆上。</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 xml:space="preserve">1 </w:t>
                  </w:r>
                </w:p>
              </w:tc>
            </w:tr>
            <w:tr>
              <w:tc>
                <w:tcPr>
                  <w:tcW w:type="dxa" w:w="511"/>
                </w:tcPr>
                <w:p>
                  <w:pPr>
                    <w:pStyle w:val="null3"/>
                  </w:pPr>
                  <w:r>
                    <w:rPr>
                      <w:rFonts w:ascii="仿宋_GB2312" w:hAnsi="仿宋_GB2312" w:cs="仿宋_GB2312" w:eastAsia="仿宋_GB2312"/>
                    </w:rPr>
                    <w:t xml:space="preserve">10 </w:t>
                  </w:r>
                </w:p>
              </w:tc>
              <w:tc>
                <w:tcPr>
                  <w:tcW w:type="dxa" w:w="1022"/>
                  <w:gridSpan w:val="2"/>
                </w:tcPr>
                <w:p>
                  <w:pPr>
                    <w:pStyle w:val="null3"/>
                  </w:pPr>
                  <w:r>
                    <w:rPr>
                      <w:rFonts w:ascii="仿宋_GB2312" w:hAnsi="仿宋_GB2312" w:cs="仿宋_GB2312" w:eastAsia="仿宋_GB2312"/>
                    </w:rPr>
                    <w:t>太阳能供电系统</w:t>
                  </w:r>
                  <w:r>
                    <w:br/>
                  </w:r>
                  <w:r>
                    <w:rPr>
                      <w:rFonts w:ascii="仿宋_GB2312" w:hAnsi="仿宋_GB2312" w:cs="仿宋_GB2312" w:eastAsia="仿宋_GB2312"/>
                    </w:rPr>
                    <w:t xml:space="preserve"> 400W-200AH套装系统套装，带逆变器等配件，带安装立杆。</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 xml:space="preserve">1 </w:t>
                  </w:r>
                </w:p>
              </w:tc>
            </w:tr>
            <w:tr>
              <w:tc>
                <w:tcPr>
                  <w:tcW w:type="dxa" w:w="2555"/>
                  <w:gridSpan w:val="5"/>
                </w:tcPr>
                <w:p>
                  <w:pPr>
                    <w:pStyle w:val="null3"/>
                  </w:pPr>
                  <w:r>
                    <w:rPr>
                      <w:rFonts w:ascii="仿宋_GB2312" w:hAnsi="仿宋_GB2312" w:cs="仿宋_GB2312" w:eastAsia="仿宋_GB2312"/>
                    </w:rPr>
                    <w:t>地基施工</w:t>
                  </w:r>
                </w:p>
              </w:tc>
            </w:tr>
            <w:tr>
              <w:tc>
                <w:tcPr>
                  <w:tcW w:type="dxa" w:w="511"/>
                </w:tcPr>
                <w:p>
                  <w:pPr>
                    <w:pStyle w:val="null3"/>
                  </w:pPr>
                  <w:r>
                    <w:rPr>
                      <w:rFonts w:ascii="仿宋_GB2312" w:hAnsi="仿宋_GB2312" w:cs="仿宋_GB2312" w:eastAsia="仿宋_GB2312"/>
                    </w:rPr>
                    <w:t xml:space="preserve">11 </w:t>
                  </w:r>
                </w:p>
              </w:tc>
              <w:tc>
                <w:tcPr>
                  <w:tcW w:type="dxa" w:w="1022"/>
                  <w:gridSpan w:val="2"/>
                </w:tcPr>
                <w:p>
                  <w:pPr>
                    <w:pStyle w:val="null3"/>
                  </w:pPr>
                  <w:r>
                    <w:rPr>
                      <w:rFonts w:ascii="仿宋_GB2312" w:hAnsi="仿宋_GB2312" w:cs="仿宋_GB2312" w:eastAsia="仿宋_GB2312"/>
                    </w:rPr>
                    <w:t>设备安装台面及周围用围栏</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 xml:space="preserve">1 </w:t>
                  </w:r>
                </w:p>
              </w:tc>
            </w:tr>
            <w:tr>
              <w:tc>
                <w:tcPr>
                  <w:tcW w:type="dxa" w:w="511"/>
                </w:tcPr>
                <w:p>
                  <w:pPr>
                    <w:pStyle w:val="null3"/>
                  </w:pPr>
                  <w:r>
                    <w:rPr>
                      <w:rFonts w:ascii="仿宋_GB2312" w:hAnsi="仿宋_GB2312" w:cs="仿宋_GB2312" w:eastAsia="仿宋_GB2312"/>
                    </w:rPr>
                    <w:t xml:space="preserve">12 </w:t>
                  </w:r>
                </w:p>
              </w:tc>
              <w:tc>
                <w:tcPr>
                  <w:tcW w:type="dxa" w:w="1022"/>
                  <w:gridSpan w:val="2"/>
                </w:tcPr>
                <w:p>
                  <w:pPr>
                    <w:pStyle w:val="null3"/>
                  </w:pPr>
                  <w:r>
                    <w:rPr>
                      <w:rFonts w:ascii="仿宋_GB2312" w:hAnsi="仿宋_GB2312" w:cs="仿宋_GB2312" w:eastAsia="仿宋_GB2312"/>
                    </w:rPr>
                    <w:t>智慧农业云数据中心</w:t>
                  </w:r>
                  <w:r>
                    <w:br/>
                  </w:r>
                  <w:r>
                    <w:rPr>
                      <w:rFonts w:ascii="仿宋_GB2312" w:hAnsi="仿宋_GB2312" w:cs="仿宋_GB2312" w:eastAsia="仿宋_GB2312"/>
                    </w:rPr>
                    <w:t xml:space="preserve"> 1.数据中心作为智慧农业大数据综合信息服务平台的重要核心层,承担整个平台的数据管理、分析挖掘、等工作，为各应用系统运行提供坚实的数据支撑。</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 xml:space="preserve">1 </w:t>
                  </w:r>
                </w:p>
              </w:tc>
            </w:tr>
            <w:tr>
              <w:tc>
                <w:tcPr>
                  <w:tcW w:type="dxa" w:w="511"/>
                </w:tcPr>
                <w:p>
                  <w:pPr>
                    <w:pStyle w:val="null3"/>
                  </w:pPr>
                  <w:r>
                    <w:rPr>
                      <w:rFonts w:ascii="仿宋_GB2312" w:hAnsi="仿宋_GB2312" w:cs="仿宋_GB2312" w:eastAsia="仿宋_GB2312"/>
                    </w:rPr>
                    <w:t xml:space="preserve">13 </w:t>
                  </w:r>
                </w:p>
              </w:tc>
              <w:tc>
                <w:tcPr>
                  <w:tcW w:type="dxa" w:w="1022"/>
                  <w:gridSpan w:val="2"/>
                </w:tcPr>
                <w:p>
                  <w:pPr>
                    <w:pStyle w:val="null3"/>
                  </w:pPr>
                  <w:r>
                    <w:rPr>
                      <w:rFonts w:ascii="仿宋_GB2312" w:hAnsi="仿宋_GB2312" w:cs="仿宋_GB2312" w:eastAsia="仿宋_GB2312"/>
                    </w:rPr>
                    <w:t>预警信息子系统</w:t>
                  </w:r>
                  <w:r>
                    <w:br/>
                  </w:r>
                  <w:r>
                    <w:rPr>
                      <w:rFonts w:ascii="仿宋_GB2312" w:hAnsi="仿宋_GB2312" w:cs="仿宋_GB2312" w:eastAsia="仿宋_GB2312"/>
                    </w:rPr>
                    <w:t xml:space="preserve"> 1.预警信息子系统包含平台报警查询和短信实时报警两部分内容。用户可在服务平台的应用配置模块中事先设置，报警区域、报警时段、报警参数及报警参数的上下限。</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 xml:space="preserve">1 </w:t>
                  </w:r>
                </w:p>
              </w:tc>
            </w:tr>
            <w:tr>
              <w:tc>
                <w:tcPr>
                  <w:tcW w:type="dxa" w:w="511"/>
                </w:tcPr>
                <w:p>
                  <w:pPr>
                    <w:pStyle w:val="null3"/>
                  </w:pPr>
                  <w:r>
                    <w:rPr>
                      <w:rFonts w:ascii="仿宋_GB2312" w:hAnsi="仿宋_GB2312" w:cs="仿宋_GB2312" w:eastAsia="仿宋_GB2312"/>
                    </w:rPr>
                    <w:t xml:space="preserve">14 </w:t>
                  </w:r>
                </w:p>
              </w:tc>
              <w:tc>
                <w:tcPr>
                  <w:tcW w:type="dxa" w:w="1022"/>
                  <w:gridSpan w:val="2"/>
                </w:tcPr>
                <w:p>
                  <w:pPr>
                    <w:pStyle w:val="null3"/>
                  </w:pPr>
                  <w:r>
                    <w:rPr>
                      <w:rFonts w:ascii="仿宋_GB2312" w:hAnsi="仿宋_GB2312" w:cs="仿宋_GB2312" w:eastAsia="仿宋_GB2312"/>
                    </w:rPr>
                    <w:t>生产视频监控子系统</w:t>
                  </w:r>
                  <w:r>
                    <w:br/>
                  </w:r>
                  <w:r>
                    <w:rPr>
                      <w:rFonts w:ascii="仿宋_GB2312" w:hAnsi="仿宋_GB2312" w:cs="仿宋_GB2312" w:eastAsia="仿宋_GB2312"/>
                    </w:rPr>
                    <w:t xml:space="preserve"> 1.通过安装高清网络摄像机，调节视角，对大田或大棚生长状况进行全天候视频监控，长状况进行全天候视频监控，管理人员可以随时随地通过计算机或手机清楚的观看到大田的情况。</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 xml:space="preserve">1 </w:t>
                  </w:r>
                </w:p>
              </w:tc>
            </w:tr>
            <w:tr>
              <w:tc>
                <w:tcPr>
                  <w:tcW w:type="dxa" w:w="511"/>
                </w:tcPr>
                <w:p>
                  <w:pPr>
                    <w:pStyle w:val="null3"/>
                  </w:pPr>
                  <w:r>
                    <w:rPr>
                      <w:rFonts w:ascii="仿宋_GB2312" w:hAnsi="仿宋_GB2312" w:cs="仿宋_GB2312" w:eastAsia="仿宋_GB2312"/>
                    </w:rPr>
                    <w:t xml:space="preserve">15 </w:t>
                  </w:r>
                </w:p>
              </w:tc>
              <w:tc>
                <w:tcPr>
                  <w:tcW w:type="dxa" w:w="1022"/>
                  <w:gridSpan w:val="2"/>
                </w:tcPr>
                <w:p>
                  <w:pPr>
                    <w:pStyle w:val="null3"/>
                  </w:pPr>
                  <w:r>
                    <w:rPr>
                      <w:rFonts w:ascii="仿宋_GB2312" w:hAnsi="仿宋_GB2312" w:cs="仿宋_GB2312" w:eastAsia="仿宋_GB2312"/>
                    </w:rPr>
                    <w:t>气象预报模块</w:t>
                  </w:r>
                  <w:r>
                    <w:br/>
                  </w:r>
                  <w:r>
                    <w:rPr>
                      <w:rFonts w:ascii="仿宋_GB2312" w:hAnsi="仿宋_GB2312" w:cs="仿宋_GB2312" w:eastAsia="仿宋_GB2312"/>
                    </w:rPr>
                    <w:t xml:space="preserve"> 1.爬取当地气象信息，并在平台进行展示，定制界面。</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 xml:space="preserve">1 </w:t>
                  </w:r>
                </w:p>
              </w:tc>
            </w:tr>
            <w:tr>
              <w:tc>
                <w:tcPr>
                  <w:tcW w:type="dxa" w:w="511"/>
                </w:tcPr>
                <w:p>
                  <w:pPr>
                    <w:pStyle w:val="null3"/>
                  </w:pPr>
                  <w:r>
                    <w:rPr>
                      <w:rFonts w:ascii="仿宋_GB2312" w:hAnsi="仿宋_GB2312" w:cs="仿宋_GB2312" w:eastAsia="仿宋_GB2312"/>
                    </w:rPr>
                    <w:t xml:space="preserve">16 </w:t>
                  </w:r>
                </w:p>
              </w:tc>
              <w:tc>
                <w:tcPr>
                  <w:tcW w:type="dxa" w:w="1022"/>
                  <w:gridSpan w:val="2"/>
                </w:tcPr>
                <w:p>
                  <w:pPr>
                    <w:pStyle w:val="null3"/>
                  </w:pPr>
                  <w:r>
                    <w:rPr>
                      <w:rFonts w:ascii="仿宋_GB2312" w:hAnsi="仿宋_GB2312" w:cs="仿宋_GB2312" w:eastAsia="仿宋_GB2312"/>
                    </w:rPr>
                    <w:t>智能控制系统</w:t>
                  </w:r>
                  <w:r>
                    <w:br/>
                  </w:r>
                  <w:r>
                    <w:rPr>
                      <w:rFonts w:ascii="仿宋_GB2312" w:hAnsi="仿宋_GB2312" w:cs="仿宋_GB2312" w:eastAsia="仿宋_GB2312"/>
                    </w:rPr>
                    <w:t xml:space="preserve"> 1.远程控制系统由测控模块、配电控制柜及安装附件组成，利用GPRS等无线通讯技术与管理监控中心连接，设备控制包括灌溉控制。</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 xml:space="preserve">1 </w:t>
                  </w:r>
                </w:p>
              </w:tc>
            </w:tr>
            <w:tr>
              <w:tc>
                <w:tcPr>
                  <w:tcW w:type="dxa" w:w="511"/>
                </w:tcPr>
                <w:p>
                  <w:pPr>
                    <w:pStyle w:val="null3"/>
                  </w:pPr>
                  <w:r>
                    <w:rPr>
                      <w:rFonts w:ascii="仿宋_GB2312" w:hAnsi="仿宋_GB2312" w:cs="仿宋_GB2312" w:eastAsia="仿宋_GB2312"/>
                    </w:rPr>
                    <w:t xml:space="preserve">17 </w:t>
                  </w:r>
                </w:p>
              </w:tc>
              <w:tc>
                <w:tcPr>
                  <w:tcW w:type="dxa" w:w="1022"/>
                  <w:gridSpan w:val="2"/>
                </w:tcPr>
                <w:p>
                  <w:pPr>
                    <w:pStyle w:val="null3"/>
                  </w:pPr>
                  <w:r>
                    <w:rPr>
                      <w:rFonts w:ascii="仿宋_GB2312" w:hAnsi="仿宋_GB2312" w:cs="仿宋_GB2312" w:eastAsia="仿宋_GB2312"/>
                    </w:rPr>
                    <w:t>手机小程序系统</w:t>
                  </w:r>
                  <w:r>
                    <w:br/>
                  </w:r>
                  <w:r>
                    <w:rPr>
                      <w:rFonts w:ascii="仿宋_GB2312" w:hAnsi="仿宋_GB2312" w:cs="仿宋_GB2312" w:eastAsia="仿宋_GB2312"/>
                    </w:rPr>
                    <w:t xml:space="preserve"> 1.该系统是为方便用户随时查看、管理、控制农业生产的手机软件。用户可以通过安装在手机上的客户端软件实时掌握农业生产信息。通过手机端实现灌溉数据的显示。</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 xml:space="preserve">1 </w:t>
                  </w:r>
                </w:p>
              </w:tc>
            </w:tr>
            <w:tr>
              <w:tc>
                <w:tcPr>
                  <w:tcW w:type="dxa" w:w="511"/>
                </w:tcPr>
                <w:p>
                  <w:pPr>
                    <w:pStyle w:val="null3"/>
                  </w:pPr>
                  <w:r>
                    <w:rPr>
                      <w:rFonts w:ascii="仿宋_GB2312" w:hAnsi="仿宋_GB2312" w:cs="仿宋_GB2312" w:eastAsia="仿宋_GB2312"/>
                    </w:rPr>
                    <w:t xml:space="preserve">18 </w:t>
                  </w:r>
                </w:p>
              </w:tc>
              <w:tc>
                <w:tcPr>
                  <w:tcW w:type="dxa" w:w="1022"/>
                  <w:gridSpan w:val="2"/>
                </w:tcPr>
                <w:p>
                  <w:pPr>
                    <w:pStyle w:val="null3"/>
                  </w:pPr>
                  <w:r>
                    <w:rPr>
                      <w:rFonts w:ascii="仿宋_GB2312" w:hAnsi="仿宋_GB2312" w:cs="仿宋_GB2312" w:eastAsia="仿宋_GB2312"/>
                    </w:rPr>
                    <w:t>农业害虫监测预警平台</w:t>
                  </w:r>
                  <w:r>
                    <w:br/>
                  </w:r>
                  <w:r>
                    <w:rPr>
                      <w:rFonts w:ascii="仿宋_GB2312" w:hAnsi="仿宋_GB2312" w:cs="仿宋_GB2312" w:eastAsia="仿宋_GB2312"/>
                    </w:rPr>
                    <w:t xml:space="preserve"> 1.软件分析服务:功能包括两套深度神经网络识。</w:t>
                  </w:r>
                  <w:r>
                    <w:br/>
                  </w:r>
                  <w:r>
                    <w:rPr>
                      <w:rFonts w:ascii="仿宋_GB2312" w:hAnsi="仿宋_GB2312" w:cs="仿宋_GB2312" w:eastAsia="仿宋_GB2312"/>
                    </w:rPr>
                    <w:t xml:space="preserve"> 别模型及接口：图片分割模型、图片分类模型及相应接口服务费用。</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 xml:space="preserve">1 </w:t>
                  </w:r>
                </w:p>
              </w:tc>
            </w:tr>
            <w:tr>
              <w:tc>
                <w:tcPr>
                  <w:tcW w:type="dxa" w:w="511"/>
                </w:tcPr>
                <w:p>
                  <w:pPr>
                    <w:pStyle w:val="null3"/>
                  </w:pPr>
                  <w:r>
                    <w:rPr>
                      <w:rFonts w:ascii="仿宋_GB2312" w:hAnsi="仿宋_GB2312" w:cs="仿宋_GB2312" w:eastAsia="仿宋_GB2312"/>
                    </w:rPr>
                    <w:t xml:space="preserve">19 </w:t>
                  </w:r>
                </w:p>
              </w:tc>
              <w:tc>
                <w:tcPr>
                  <w:tcW w:type="dxa" w:w="1022"/>
                  <w:gridSpan w:val="2"/>
                </w:tcPr>
                <w:p>
                  <w:pPr>
                    <w:pStyle w:val="null3"/>
                  </w:pPr>
                  <w:r>
                    <w:rPr>
                      <w:rFonts w:ascii="仿宋_GB2312" w:hAnsi="仿宋_GB2312" w:cs="仿宋_GB2312" w:eastAsia="仿宋_GB2312"/>
                    </w:rPr>
                    <w:t>溯源小程序</w:t>
                  </w:r>
                  <w:r>
                    <w:br/>
                  </w:r>
                  <w:r>
                    <w:rPr>
                      <w:rFonts w:ascii="仿宋_GB2312" w:hAnsi="仿宋_GB2312" w:cs="仿宋_GB2312" w:eastAsia="仿宋_GB2312"/>
                    </w:rPr>
                    <w:t xml:space="preserve"> 1.用户通过扫描二维码可以看到产品的实时环境数据，生产厂家，生产批次，生产日期，产品种类，产品特点，投入品信息，视频监控等数据对产品进行一个深入的溯源。</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 xml:space="preserve">1 </w:t>
                  </w:r>
                </w:p>
              </w:tc>
            </w:tr>
            <w:tr>
              <w:tc>
                <w:tcPr>
                  <w:tcW w:type="dxa" w:w="511"/>
                </w:tcPr>
                <w:p>
                  <w:pPr>
                    <w:pStyle w:val="null3"/>
                  </w:pPr>
                  <w:r>
                    <w:rPr>
                      <w:rFonts w:ascii="仿宋_GB2312" w:hAnsi="仿宋_GB2312" w:cs="仿宋_GB2312" w:eastAsia="仿宋_GB2312"/>
                    </w:rPr>
                    <w:t xml:space="preserve">20 </w:t>
                  </w:r>
                </w:p>
              </w:tc>
              <w:tc>
                <w:tcPr>
                  <w:tcW w:type="dxa" w:w="1022"/>
                  <w:gridSpan w:val="2"/>
                </w:tcPr>
                <w:p>
                  <w:pPr>
                    <w:pStyle w:val="null3"/>
                  </w:pPr>
                  <w:r>
                    <w:rPr>
                      <w:rFonts w:ascii="仿宋_GB2312" w:hAnsi="仿宋_GB2312" w:cs="仿宋_GB2312" w:eastAsia="仿宋_GB2312"/>
                    </w:rPr>
                    <w:t>土壤墙情一张图</w:t>
                  </w:r>
                  <w:r>
                    <w:br/>
                  </w:r>
                  <w:r>
                    <w:rPr>
                      <w:rFonts w:ascii="仿宋_GB2312" w:hAnsi="仿宋_GB2312" w:cs="仿宋_GB2312" w:eastAsia="仿宋_GB2312"/>
                    </w:rPr>
                    <w:t xml:space="preserve"> 1.通过前端传感器数据上传，监测土壤湿度、土壤PH值、土壤盐分、土壤元素等数值生成曲线或者饼状图表示。</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 xml:space="preserve">1 </w:t>
                  </w:r>
                </w:p>
              </w:tc>
            </w:tr>
            <w:tr>
              <w:tc>
                <w:tcPr>
                  <w:tcW w:type="dxa" w:w="511"/>
                </w:tcPr>
                <w:p>
                  <w:pPr>
                    <w:pStyle w:val="null3"/>
                  </w:pPr>
                  <w:r>
                    <w:rPr>
                      <w:rFonts w:ascii="仿宋_GB2312" w:hAnsi="仿宋_GB2312" w:cs="仿宋_GB2312" w:eastAsia="仿宋_GB2312"/>
                    </w:rPr>
                    <w:t xml:space="preserve">21 </w:t>
                  </w:r>
                </w:p>
              </w:tc>
              <w:tc>
                <w:tcPr>
                  <w:tcW w:type="dxa" w:w="1022"/>
                  <w:gridSpan w:val="2"/>
                </w:tcPr>
                <w:p>
                  <w:pPr>
                    <w:pStyle w:val="null3"/>
                  </w:pPr>
                  <w:r>
                    <w:rPr>
                      <w:rFonts w:ascii="仿宋_GB2312" w:hAnsi="仿宋_GB2312" w:cs="仿宋_GB2312" w:eastAsia="仿宋_GB2312"/>
                    </w:rPr>
                    <w:t>气象监测一张图</w:t>
                  </w:r>
                  <w:r>
                    <w:br/>
                  </w:r>
                  <w:r>
                    <w:rPr>
                      <w:rFonts w:ascii="仿宋_GB2312" w:hAnsi="仿宋_GB2312" w:cs="仿宋_GB2312" w:eastAsia="仿宋_GB2312"/>
                    </w:rPr>
                    <w:t xml:space="preserve"> 1.通过前端传感器数据上传，监测空气湿度、相对湿度、光照度、大气压、二氧化碳、风速、风向、降雨量、太阳辐射等数值生成曲线或者饼状图表示。</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 xml:space="preserve">1 </w:t>
                  </w:r>
                </w:p>
              </w:tc>
            </w:tr>
            <w:tr>
              <w:tc>
                <w:tcPr>
                  <w:tcW w:type="dxa" w:w="511"/>
                </w:tcPr>
                <w:p>
                  <w:pPr>
                    <w:pStyle w:val="null3"/>
                  </w:pPr>
                  <w:r>
                    <w:rPr>
                      <w:rFonts w:ascii="仿宋_GB2312" w:hAnsi="仿宋_GB2312" w:cs="仿宋_GB2312" w:eastAsia="仿宋_GB2312"/>
                    </w:rPr>
                    <w:t xml:space="preserve">22 </w:t>
                  </w:r>
                </w:p>
              </w:tc>
              <w:tc>
                <w:tcPr>
                  <w:tcW w:type="dxa" w:w="1022"/>
                  <w:gridSpan w:val="2"/>
                </w:tcPr>
                <w:p>
                  <w:pPr>
                    <w:pStyle w:val="null3"/>
                  </w:pPr>
                  <w:r>
                    <w:rPr>
                      <w:rFonts w:ascii="仿宋_GB2312" w:hAnsi="仿宋_GB2312" w:cs="仿宋_GB2312" w:eastAsia="仿宋_GB2312"/>
                    </w:rPr>
                    <w:t>基础信息管理系统</w:t>
                  </w:r>
                  <w:r>
                    <w:br/>
                  </w:r>
                  <w:r>
                    <w:rPr>
                      <w:rFonts w:ascii="仿宋_GB2312" w:hAnsi="仿宋_GB2312" w:cs="仿宋_GB2312" w:eastAsia="仿宋_GB2312"/>
                    </w:rPr>
                    <w:t xml:space="preserve"> 1.该系统主要是针对农产品种植基地、地块、产品信息的管理。基地管理通过对基地名称、基地坐标、基地面积负责人、联系方式并可上传基地平面图等信息进行管理。</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 xml:space="preserve">1 </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标的名称：合阳县黑池镇“吨粮镇”建设项目-有机肥及无人机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398"/>
              <w:gridCol w:w="678"/>
              <w:gridCol w:w="678"/>
              <w:gridCol w:w="398"/>
              <w:gridCol w:w="398"/>
            </w:tblGrid>
            <w:tr>
              <w:tc>
                <w:tcPr>
                  <w:tcW w:type="dxa" w:w="2550"/>
                  <w:gridSpan w:val="5"/>
                  <w:tcBorders>
                    <w:top w:val="single" w:color="FFFFFF" w:sz="4"/>
                    <w:left w:val="single" w:color="FFFFFF" w:sz="4"/>
                    <w:bottom w:val="none" w:color="000000"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有机肥及无人机</w:t>
                  </w:r>
                </w:p>
              </w:tc>
            </w:tr>
            <w:tr>
              <w:tc>
                <w:tcPr>
                  <w:tcW w:type="dxa" w:w="3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1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规格</w:t>
                  </w:r>
                </w:p>
              </w:tc>
              <w:tc>
                <w:tcPr>
                  <w:tcW w:type="dxa" w:w="3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单位</w:t>
                  </w:r>
                </w:p>
              </w:tc>
              <w:tc>
                <w:tcPr>
                  <w:tcW w:type="dxa" w:w="3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数量</w:t>
                  </w:r>
                </w:p>
              </w:tc>
            </w:tr>
            <w:tr>
              <w:tc>
                <w:tcPr>
                  <w:tcW w:type="dxa" w:w="255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有机肥</w:t>
                  </w:r>
                </w:p>
              </w:tc>
            </w:tr>
            <w:tr>
              <w:tc>
                <w:tcPr>
                  <w:tcW w:type="dxa" w:w="3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有机肥≥7000亩</w:t>
                  </w:r>
                  <w:r>
                    <w:br/>
                  </w:r>
                  <w:r>
                    <w:rPr>
                      <w:rFonts w:ascii="仿宋_GB2312" w:hAnsi="仿宋_GB2312" w:cs="仿宋_GB2312" w:eastAsia="仿宋_GB2312"/>
                      <w:sz w:val="18"/>
                      <w:color w:val="000000"/>
                    </w:rPr>
                    <w:t>1.有机肥</w:t>
                  </w:r>
                  <w:r>
                    <w:rPr>
                      <w:rFonts w:ascii="仿宋_GB2312" w:hAnsi="仿宋_GB2312" w:cs="仿宋_GB2312" w:eastAsia="仿宋_GB2312"/>
                      <w:sz w:val="18"/>
                      <w:color w:val="000000"/>
                    </w:rPr>
                    <w:t>带菌的、颗粒型。</w:t>
                  </w:r>
                  <w:r>
                    <w:br/>
                  </w:r>
                  <w:r>
                    <w:rPr>
                      <w:rFonts w:ascii="仿宋_GB2312" w:hAnsi="仿宋_GB2312" w:cs="仿宋_GB2312" w:eastAsia="仿宋_GB2312"/>
                      <w:sz w:val="18"/>
                      <w:color w:val="000000"/>
                    </w:rPr>
                    <w:t xml:space="preserve"> 2.有机肥满足NY884-2012执行标准。</w:t>
                  </w:r>
                </w:p>
                <w:p>
                  <w:pPr>
                    <w:pStyle w:val="null3"/>
                    <w:jc w:val="left"/>
                  </w:pPr>
                  <w:r>
                    <w:rPr>
                      <w:rFonts w:ascii="仿宋_GB2312" w:hAnsi="仿宋_GB2312" w:cs="仿宋_GB2312" w:eastAsia="仿宋_GB2312"/>
                      <w:sz w:val="18"/>
                      <w:color w:val="000000"/>
                    </w:rPr>
                    <w:t>3.有机肥每亩不少于80kg。</w:t>
                  </w:r>
                </w:p>
              </w:tc>
              <w:tc>
                <w:tcPr>
                  <w:tcW w:type="dxa" w:w="3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255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无人机</w:t>
                  </w:r>
                </w:p>
              </w:tc>
            </w:tr>
            <w:tr>
              <w:tc>
                <w:tcPr>
                  <w:tcW w:type="dxa" w:w="3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35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无人机</w:t>
                  </w:r>
                  <w:r>
                    <w:br/>
                  </w:r>
                  <w:r>
                    <w:rPr>
                      <w:rFonts w:ascii="仿宋_GB2312" w:hAnsi="仿宋_GB2312" w:cs="仿宋_GB2312" w:eastAsia="仿宋_GB2312"/>
                      <w:sz w:val="18"/>
                      <w:color w:val="000000"/>
                    </w:rPr>
                    <w:t>1.载重及容量:喷洒载量</w:t>
                  </w:r>
                  <w:r>
                    <w:rPr>
                      <w:rFonts w:ascii="仿宋_GB2312" w:hAnsi="仿宋_GB2312" w:cs="仿宋_GB2312" w:eastAsia="仿宋_GB2312"/>
                      <w:sz w:val="18"/>
                      <w:color w:val="000000"/>
                    </w:rPr>
                    <w:t>≥</w:t>
                  </w:r>
                  <w:r>
                    <w:rPr>
                      <w:rFonts w:ascii="仿宋_GB2312" w:hAnsi="仿宋_GB2312" w:cs="仿宋_GB2312" w:eastAsia="仿宋_GB2312"/>
                      <w:sz w:val="18"/>
                      <w:color w:val="000000"/>
                    </w:rPr>
                    <w:t>70公斤，播撒</w:t>
                  </w:r>
                  <w:r>
                    <w:rPr>
                      <w:rFonts w:ascii="仿宋_GB2312" w:hAnsi="仿宋_GB2312" w:cs="仿宋_GB2312" w:eastAsia="仿宋_GB2312"/>
                      <w:sz w:val="18"/>
                      <w:color w:val="000000"/>
                    </w:rPr>
                    <w:t>载重</w:t>
                  </w:r>
                  <w:r>
                    <w:rPr>
                      <w:rFonts w:ascii="仿宋_GB2312" w:hAnsi="仿宋_GB2312" w:cs="仿宋_GB2312" w:eastAsia="仿宋_GB2312"/>
                      <w:sz w:val="18"/>
                      <w:color w:val="000000"/>
                    </w:rPr>
                    <w:t>≥</w:t>
                  </w:r>
                  <w:r>
                    <w:rPr>
                      <w:rFonts w:ascii="仿宋_GB2312" w:hAnsi="仿宋_GB2312" w:cs="仿宋_GB2312" w:eastAsia="仿宋_GB2312"/>
                      <w:sz w:val="18"/>
                      <w:color w:val="000000"/>
                    </w:rPr>
                    <w:t>70公斤 。</w:t>
                  </w:r>
                  <w:r>
                    <w:br/>
                  </w:r>
                  <w:r>
                    <w:rPr>
                      <w:rFonts w:ascii="仿宋_GB2312" w:hAnsi="仿宋_GB2312" w:cs="仿宋_GB2312" w:eastAsia="仿宋_GB2312"/>
                      <w:sz w:val="18"/>
                      <w:color w:val="000000"/>
                    </w:rPr>
                    <w:t>2.喷头:标配双喷头，可选配4喷头。</w:t>
                  </w:r>
                  <w:r>
                    <w:br/>
                  </w:r>
                  <w:r>
                    <w:rPr>
                      <w:rFonts w:ascii="仿宋_GB2312" w:hAnsi="仿宋_GB2312" w:cs="仿宋_GB2312" w:eastAsia="仿宋_GB2312"/>
                      <w:sz w:val="18"/>
                      <w:color w:val="000000"/>
                    </w:rPr>
                    <w:t>3.安全系统:标配安全系统3.0，搭载三目视</w:t>
                  </w:r>
                  <w:r>
                    <w:br/>
                  </w:r>
                  <w:r>
                    <w:rPr>
                      <w:rFonts w:ascii="仿宋_GB2312" w:hAnsi="仿宋_GB2312" w:cs="仿宋_GB2312" w:eastAsia="仿宋_GB2312"/>
                      <w:sz w:val="18"/>
                      <w:color w:val="000000"/>
                    </w:rPr>
                    <w:t>觉系统和前、后有源相控阵雷达，配备智能避</w:t>
                  </w:r>
                  <w:r>
                    <w:rPr>
                      <w:rFonts w:ascii="仿宋_GB2312" w:hAnsi="仿宋_GB2312" w:cs="仿宋_GB2312" w:eastAsia="仿宋_GB2312"/>
                      <w:sz w:val="18"/>
                      <w:color w:val="000000"/>
                    </w:rPr>
                    <w:t>障系统、智能绕障系统、智能障碍物检测、 AR</w:t>
                  </w:r>
                  <w:r>
                    <w:rPr>
                      <w:rFonts w:ascii="仿宋_GB2312" w:hAnsi="仿宋_GB2312" w:cs="仿宋_GB2312" w:eastAsia="仿宋_GB2312"/>
                      <w:sz w:val="18"/>
                      <w:color w:val="000000"/>
                    </w:rPr>
                    <w:t>安全辅助、免航测仿地、机臂在位检测、低电</w:t>
                  </w:r>
                  <w:r>
                    <w:rPr>
                      <w:rFonts w:ascii="仿宋_GB2312" w:hAnsi="仿宋_GB2312" w:cs="仿宋_GB2312" w:eastAsia="仿宋_GB2312"/>
                      <w:sz w:val="18"/>
                      <w:color w:val="000000"/>
                    </w:rPr>
                    <w:t>自动返航等。</w:t>
                  </w:r>
                  <w:r>
                    <w:br/>
                  </w:r>
                  <w:r>
                    <w:rPr>
                      <w:rFonts w:ascii="仿宋_GB2312" w:hAnsi="仿宋_GB2312" w:cs="仿宋_GB2312" w:eastAsia="仿宋_GB2312"/>
                      <w:sz w:val="18"/>
                      <w:color w:val="000000"/>
                    </w:rPr>
                    <w:t>4.遥控器:标配7英寸触控液晶显示屏遥控器</w:t>
                  </w:r>
                  <w:r>
                    <w:br/>
                  </w:r>
                  <w:r>
                    <w:rPr>
                      <w:rFonts w:ascii="仿宋_GB2312" w:hAnsi="仿宋_GB2312" w:cs="仿宋_GB2312" w:eastAsia="仿宋_GB2312"/>
                      <w:sz w:val="18"/>
                      <w:color w:val="000000"/>
                    </w:rPr>
                    <w:t>5.动力系统:发电机充电站</w:t>
                  </w:r>
                  <w:r>
                    <w:br/>
                  </w:r>
                  <w:r>
                    <w:rPr>
                      <w:rFonts w:ascii="仿宋_GB2312" w:hAnsi="仿宋_GB2312" w:cs="仿宋_GB2312" w:eastAsia="仿宋_GB2312"/>
                      <w:sz w:val="18"/>
                      <w:color w:val="000000"/>
                    </w:rPr>
                    <w:t>6.悬停精度（GNSS 信号良好）</w:t>
                  </w:r>
                  <w:r>
                    <w:br/>
                  </w:r>
                  <w:r>
                    <w:rPr>
                      <w:rFonts w:ascii="仿宋_GB2312" w:hAnsi="仿宋_GB2312" w:cs="仿宋_GB2312" w:eastAsia="仿宋_GB2312"/>
                      <w:sz w:val="18"/>
                      <w:color w:val="000000"/>
                    </w:rPr>
                    <w:t>7.启用RTK:±10cm（水平），±10cm(垂直)</w:t>
                  </w:r>
                  <w:r>
                    <w:rPr>
                      <w:rFonts w:ascii="仿宋_GB2312" w:hAnsi="仿宋_GB2312" w:cs="仿宋_GB2312" w:eastAsia="仿宋_GB2312"/>
                      <w:sz w:val="18"/>
                      <w:color w:val="000000"/>
                    </w:rPr>
                    <w:t>未启用RTK：水平±0.6m，垂直±0.3m</w:t>
                  </w:r>
                  <w:r>
                    <w:br/>
                  </w:r>
                  <w:r>
                    <w:rPr>
                      <w:rFonts w:ascii="仿宋_GB2312" w:hAnsi="仿宋_GB2312" w:cs="仿宋_GB2312" w:eastAsia="仿宋_GB2312"/>
                      <w:sz w:val="18"/>
                      <w:color w:val="000000"/>
                    </w:rPr>
                    <w:t>8.可设置最大飞行半径</w:t>
                  </w:r>
                  <w:r>
                    <w:rPr>
                      <w:rFonts w:ascii="仿宋_GB2312" w:hAnsi="仿宋_GB2312" w:cs="仿宋_GB2312" w:eastAsia="仿宋_GB2312"/>
                      <w:sz w:val="18"/>
                      <w:color w:val="000000"/>
                    </w:rPr>
                    <w:t>≥</w:t>
                  </w:r>
                  <w:r>
                    <w:rPr>
                      <w:rFonts w:ascii="仿宋_GB2312" w:hAnsi="仿宋_GB2312" w:cs="仿宋_GB2312" w:eastAsia="仿宋_GB2312"/>
                      <w:sz w:val="18"/>
                      <w:color w:val="000000"/>
                    </w:rPr>
                    <w:t>2 km</w:t>
                  </w:r>
                  <w:r>
                    <w:br/>
                  </w:r>
                  <w:r>
                    <w:rPr>
                      <w:rFonts w:ascii="仿宋_GB2312" w:hAnsi="仿宋_GB2312" w:cs="仿宋_GB2312" w:eastAsia="仿宋_GB2312"/>
                      <w:sz w:val="18"/>
                      <w:color w:val="000000"/>
                    </w:rPr>
                    <w:t>10.工作环境温度</w:t>
                  </w:r>
                  <w:r>
                    <w:rPr>
                      <w:rFonts w:ascii="仿宋_GB2312" w:hAnsi="仿宋_GB2312" w:cs="仿宋_GB2312" w:eastAsia="仿宋_GB2312"/>
                      <w:sz w:val="18"/>
                      <w:color w:val="000000"/>
                    </w:rPr>
                    <w:t>0℃ 至 40℃</w:t>
                  </w:r>
                  <w:r>
                    <w:br/>
                  </w:r>
                  <w:r>
                    <w:rPr>
                      <w:rFonts w:ascii="仿宋_GB2312" w:hAnsi="仿宋_GB2312" w:cs="仿宋_GB2312" w:eastAsia="仿宋_GB2312"/>
                      <w:sz w:val="18"/>
                      <w:color w:val="000000"/>
                    </w:rPr>
                    <w:t>12.最大可承受风速</w:t>
                  </w:r>
                  <w:r>
                    <w:rPr>
                      <w:rFonts w:ascii="仿宋_GB2312" w:hAnsi="仿宋_GB2312" w:cs="仿宋_GB2312" w:eastAsia="仿宋_GB2312"/>
                      <w:sz w:val="18"/>
                      <w:color w:val="000000"/>
                    </w:rPr>
                    <w:t>≥</w:t>
                  </w:r>
                  <w:r>
                    <w:rPr>
                      <w:rFonts w:ascii="仿宋_GB2312" w:hAnsi="仿宋_GB2312" w:cs="仿宋_GB2312" w:eastAsia="仿宋_GB2312"/>
                      <w:sz w:val="18"/>
                      <w:color w:val="000000"/>
                    </w:rPr>
                    <w:t>6 m/s</w:t>
                  </w:r>
                </w:p>
              </w:tc>
              <w:tc>
                <w:tcPr>
                  <w:tcW w:type="dxa" w:w="3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3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标的名称：合阳县黑池镇“吨粮镇”建设项目-一喷多促及农业培训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470"/>
              <w:gridCol w:w="571"/>
              <w:gridCol w:w="571"/>
              <w:gridCol w:w="470"/>
              <w:gridCol w:w="470"/>
            </w:tblGrid>
            <w:tr>
              <w:tc>
                <w:tcPr>
                  <w:tcW w:type="dxa" w:w="2552"/>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 xml:space="preserve"> 一喷多促及农业培训</w:t>
                  </w:r>
                </w:p>
              </w:tc>
            </w:tr>
            <w:tr>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114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规格</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单位</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数量</w:t>
                  </w:r>
                </w:p>
              </w:tc>
            </w:tr>
            <w:tr>
              <w:tc>
                <w:tcPr>
                  <w:tcW w:type="dxa" w:w="2552"/>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一喷多促</w:t>
                  </w:r>
                </w:p>
              </w:tc>
            </w:tr>
            <w:tr>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14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杀虫剂</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亩</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80000 </w:t>
                  </w:r>
                </w:p>
              </w:tc>
            </w:tr>
            <w:tr>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14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杀菌剂</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亩</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80000 </w:t>
                  </w:r>
                </w:p>
              </w:tc>
            </w:tr>
            <w:tr>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14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水溶叶面肥</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亩</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80000 </w:t>
                  </w:r>
                </w:p>
              </w:tc>
            </w:tr>
            <w:tr>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14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农药助剂（生长调节剂）</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亩</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80000 </w:t>
                  </w:r>
                </w:p>
              </w:tc>
            </w:tr>
            <w:tr>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114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无人机播撒</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亩</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80000 </w:t>
                  </w:r>
                </w:p>
              </w:tc>
            </w:tr>
            <w:tr>
              <w:tc>
                <w:tcPr>
                  <w:tcW w:type="dxa" w:w="2552"/>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rPr>
                    <w:t>作业方式：采用植保无人机喷防。</w:t>
                  </w:r>
                  <w:r>
                    <w:br/>
                  </w:r>
                  <w:r>
                    <w:rPr>
                      <w:rFonts w:ascii="仿宋_GB2312" w:hAnsi="仿宋_GB2312" w:cs="仿宋_GB2312" w:eastAsia="仿宋_GB2312"/>
                    </w:rPr>
                    <w:t xml:space="preserve"> 作业区域：黑池镇。 </w:t>
                  </w:r>
                  <w:r>
                    <w:br/>
                  </w:r>
                  <w:r>
                    <w:rPr>
                      <w:rFonts w:ascii="仿宋_GB2312" w:hAnsi="仿宋_GB2312" w:cs="仿宋_GB2312" w:eastAsia="仿宋_GB2312"/>
                    </w:rPr>
                    <w:t xml:space="preserve"> 防治效果：综合防治效果达到85%以上。</w:t>
                  </w:r>
                </w:p>
              </w:tc>
            </w:tr>
            <w:tr>
              <w:tc>
                <w:tcPr>
                  <w:tcW w:type="dxa" w:w="2552"/>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农业培训</w:t>
                  </w:r>
                </w:p>
              </w:tc>
            </w:tr>
            <w:tr>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14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培训书籍</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册</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2000 </w:t>
                  </w:r>
                </w:p>
              </w:tc>
            </w:tr>
            <w:tr>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14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培训材料</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2000 </w:t>
                  </w:r>
                </w:p>
              </w:tc>
            </w:tr>
            <w:tr>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14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授课费</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次</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20 </w:t>
                  </w:r>
                </w:p>
              </w:tc>
            </w:tr>
            <w:tr>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14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交通食宿费</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天</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所有货物及服务，供应商的投标报价均应包含运输、安装、调试、税费等与之相关发生的一切费用。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所有货物及服务，供应商的投标报价均应包含运输、安装、调试、税费等与之相关发生的一切费用。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所有货物及服务，供应商的投标报价均应包含运输、安装、调试、税费等与之相关发生的一切费用。</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自合同签订之日起35日历天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自合同签订之日起35日历天</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合阳县黑池镇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合阳县黑池镇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合阳县黑池镇</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达到国家现行行业验收规范“合格”标准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达到国家现行行业验收规范“合格”标准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达到国家现行行业验收规范“合格”标准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签订合同后，达到付款条件起</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服务结束后，采购人验收合格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剩余部分待项目建设内容完成并经专家组验收通过，项目专项资金到位后 ，达到付款条件起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签订合同后，达到付款条件起</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服务结束后，采购人验收合格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剩余部分待项目建设内容完成并经专家组验收通过，项目专项资金到位后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签订合同后，达到付款条件起</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服务结束后，采购人验收合格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剩余部分待项目建设内容完成并经专家组验收通过，项目专项资金到位后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因签订合同及合同有关事项发生的争议，由甲乙双方友好协商解决。协商不成时，可以向有关组织申请调解。合同一方或双方不愿调解或调解不成的，可以通过仲裁或诉讼的方式解决争议。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因签订合同及合同有关事项发生的争议，由甲乙双方友好协商解决。协商不成时，可以向有关组织申请调解。合同一方或双方不愿调解或调解不成的，可以通过仲裁或诉讼的方式解决争议。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因签订合同及合同有关事项发生的争议，由甲乙双方友好协商解决。协商不成时，可以向有关组织申请调解。合同一方或双方不愿调解或调解不成的，可以通过仲裁或诉讼的方式解决争议。</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为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 2.提供开标截止时间前6个月内至少一个月的依法缴纳税收的相关凭据（时间以税款所属日期为准)，依法免税或无须缴纳税收的供应商应提供相关证明材料；提供开标截止时间前6个月内至少一个月的社保缴纳凭据或社保机构开具的社会保险参保缴纳情况证明，依法不 需要缴纳社会保障金的供应商需具有社保部门出具的证明文件。 3.参加本次政府采购活动前3年内在经营活动中没有重大违法记录，以及未被列入严重失信主体、重大税收违法失信主体、政府采购严重违法失信行为记录名单的书面声明。 4.投标单位具有履行合同所需的设备和专业技术能力。 5.投标单位具备法律、行政法规规定的其他条件。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响应文件格式-1.docx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审计的财务报告（包含审计报告和审计报告中所涉及的财务报表和报表附注）或提供截至资格申请文件提交截止日3个月内银行出具的资信证明及开户许可证（基本存款账户信息）；供应商注册时间截至资格申请文件提交截止日不足一年的，也可提供在工商管理部门备案的公司章程及财务管理制度。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响应文件格式-1.docx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为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 2.提供开标截止时间前6个月内至少一个月的依法缴纳税收的相关凭据（时间以税款所属日期为准)，依法免税或无须缴纳税收的供应商应提供相关证明材料；提供开标截止时间前6个月内至少一个月的社保缴纳凭据或社保机构开具的社会保险参保缴纳情况证明，依法不 需要缴纳社会保障金的供应商需具有社保部门出具的证明文件。 3.参加本次政府采购活动前3年内在经营活动中没有重大违法记录，以及未被列入严重失信主体、重大税收违法失信主体、政府采购严重违法失信行为记录名单的书面声明。 4.投标单位具有履行合同所需的设备和专业技术能力。 5.投标单位具备法律、行政法规规定的其他条件。 供应商需在项目电子化交易系统中按要求填写《投标函》完成承诺并进行电子签章。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响应文件格式-2.docx 投标函 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审计的财务报告（包含审计报告和审计报告中所涉及的财务报表和报表附注）或提供截至资格申请文件提交截止日3个月内银行出具的资信证明及开户许可证（基本存款账户信息）；供应商注册时间截至资格申请文件提交截止日不足一年的，也可提供在工商管理部门备案的公司章程及财务管理制度。 供应商需在项目电子化交易系统中按要求上传相应证明文件并进行电子签章。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响应文件格式-2.docx 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为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 2.提供开标截止时间前6个月内至少一个月的依法缴纳税收的相关凭据（时间以税款所属日期为准)，依法免税或无须缴纳税收的供应商应提供相关证明材料；提供开标截止时间前6个月内至少一个月的社保缴纳凭据或社保机构开具的社会保险参保缴纳情况证明，依法不 需要缴纳社会保障金的供应商需具有社保部门出具的证明文件。 3.参加本次政府采购活动前3年内在经营活动中没有重大违法记录，以及未被列入严重失信主体、重大税收违法失信主体、政府采购严重违法失信行为记录名单的书面声明。 4.投标单位具有履行合同所需的设备和专业技术能力。 5.投标单位具备法律、行政法规规定的其他条件。 供应商需在项目电子化交易系统中按要求填写《投标函》完成承诺并进行电子签章。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响应文件格式-3.docx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审计的财务报告（包含审计报告和审计报告中所涉及的财务报表和报表附注）或提供截至资格申请文件提交截止日3个月内银行出具的资信证明及开户许可证（基本存款账户信息）；供应商注册时间截至资格申请文件提交截止日不足一年的，也可提供在工商管理部门备案的公司章程及财务管理制度。 供应商需在项目电子化交易系统中按要求上传相应证明文件并进行电子签章。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响应文件格式-3.docx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响应文件格式-3.docx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法人及委托授权</w:t>
            </w:r>
          </w:p>
        </w:tc>
        <w:tc>
          <w:tcPr>
            <w:tcW w:type="dxa" w:w="3322"/>
          </w:tcPr>
          <w:p>
            <w:pPr>
              <w:pStyle w:val="null3"/>
            </w:pPr>
            <w:r>
              <w:rPr>
                <w:rFonts w:ascii="仿宋_GB2312" w:hAnsi="仿宋_GB2312" w:cs="仿宋_GB2312" w:eastAsia="仿宋_GB2312"/>
              </w:rPr>
              <w:t>非法定代表人参加开标的，须提供法定代表人授权委托书及被授权人身份证；法定代表人参加开标时,只须提供法定代表人身份证。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申请人不得为“信用中国”网站（www.creditchina.gov.cn）严重失信主体和重大税收违法失信主体的供应商，不得为中国政府采购网（www.ccgp.gov.cn）政府采购严重违法失信行为记录名单中被财政部门禁止参加政府采购活动的的供应商。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本项目不接受联合体开标，不允许分包。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法人及委托授权</w:t>
            </w:r>
          </w:p>
        </w:tc>
        <w:tc>
          <w:tcPr>
            <w:tcW w:type="dxa" w:w="3322"/>
          </w:tcPr>
          <w:p>
            <w:pPr>
              <w:pStyle w:val="null3"/>
            </w:pPr>
            <w:r>
              <w:rPr>
                <w:rFonts w:ascii="仿宋_GB2312" w:hAnsi="仿宋_GB2312" w:cs="仿宋_GB2312" w:eastAsia="仿宋_GB2312"/>
              </w:rPr>
              <w:t>非法定代表人参加开标的，须提供法定代表人授权委托书及被授权人身份证；法定代表人参加开标时,只须提供法定代表人身份证。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供应商须提供所投产品有效期内的肥料登记证（供应商为代理商的提供加盖厂家公章的肥料登记证）</w:t>
            </w:r>
          </w:p>
        </w:tc>
        <w:tc>
          <w:tcPr>
            <w:tcW w:type="dxa" w:w="1661"/>
          </w:tcPr>
          <w:p>
            <w:pPr>
              <w:pStyle w:val="null3"/>
            </w:pPr>
            <w:r>
              <w:rPr>
                <w:rFonts w:ascii="仿宋_GB2312" w:hAnsi="仿宋_GB2312" w:cs="仿宋_GB2312" w:eastAsia="仿宋_GB2312"/>
              </w:rPr>
              <w:t>响应文件格式-2.docx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申请人不得为“信用中国”网站（www.creditchina.gov.cn）严重失信主体和重大税收违法失信主体的供应商，不得为中国政府采购网（www.ccgp.gov.cn）政府采购严重违法失信行为记录名单中被财政部门禁止参加政府采购活动的的供应商。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响应文件格式-2.docx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响应文件格式-2.docx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本项目不接受联合体开标，不允许分包。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响应文件格式-2.docx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法人及委托授权</w:t>
            </w:r>
          </w:p>
        </w:tc>
        <w:tc>
          <w:tcPr>
            <w:tcW w:type="dxa" w:w="3322"/>
          </w:tcPr>
          <w:p>
            <w:pPr>
              <w:pStyle w:val="null3"/>
            </w:pPr>
            <w:r>
              <w:rPr>
                <w:rFonts w:ascii="仿宋_GB2312" w:hAnsi="仿宋_GB2312" w:cs="仿宋_GB2312" w:eastAsia="仿宋_GB2312"/>
              </w:rPr>
              <w:t>非法定代表人参加开标的，须提供法定代表人授权委托书及被授权人身份证；法定代表人参加开标时,只须提供法定代表人身份证。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响应文件格式-3.docx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供应商为生产厂家的须提供农药登记证、农药生产许可证、农药标准证；供应商为经销商的须提供农药经营许可证及生产厂家的农药登记证、农药生产许可证、农药标准证。</w:t>
            </w:r>
          </w:p>
        </w:tc>
        <w:tc>
          <w:tcPr>
            <w:tcW w:type="dxa" w:w="1661"/>
          </w:tcPr>
          <w:p>
            <w:pPr>
              <w:pStyle w:val="null3"/>
            </w:pPr>
            <w:r>
              <w:rPr>
                <w:rFonts w:ascii="仿宋_GB2312" w:hAnsi="仿宋_GB2312" w:cs="仿宋_GB2312" w:eastAsia="仿宋_GB2312"/>
              </w:rPr>
              <w:t>响应文件格式-3.docx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人员要求</w:t>
            </w:r>
          </w:p>
        </w:tc>
        <w:tc>
          <w:tcPr>
            <w:tcW w:type="dxa" w:w="3322"/>
          </w:tcPr>
          <w:p>
            <w:pPr>
              <w:pStyle w:val="null3"/>
            </w:pPr>
            <w:r>
              <w:rPr>
                <w:rFonts w:ascii="仿宋_GB2312" w:hAnsi="仿宋_GB2312" w:cs="仿宋_GB2312" w:eastAsia="仿宋_GB2312"/>
              </w:rPr>
              <w:t>供应商拟派往该项目的操作人员应具有植保无人机系统操作手合格证。</w:t>
            </w:r>
          </w:p>
        </w:tc>
        <w:tc>
          <w:tcPr>
            <w:tcW w:type="dxa" w:w="1661"/>
          </w:tcPr>
          <w:p>
            <w:pPr>
              <w:pStyle w:val="null3"/>
            </w:pPr>
            <w:r>
              <w:rPr>
                <w:rFonts w:ascii="仿宋_GB2312" w:hAnsi="仿宋_GB2312" w:cs="仿宋_GB2312" w:eastAsia="仿宋_GB2312"/>
              </w:rPr>
              <w:t>响应文件格式-3.docx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申请人不得为“信用中国”网站（www.creditchina.gov.cn）严重失信主体和重大税收违法失信主体的供应商，不得为中国政府采购网（www.ccgp.gov.cn）政府采购严重违法失信行为记录名单中被财政部门禁止参加政府采购活动的的供应商。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响应文件格式-3.docx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响应文件格式-3.docx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本项目不接受联合体开标，不允许分包。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响应文件格式-3.docx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本合同包专门面向中小企业</w:t>
            </w:r>
          </w:p>
        </w:tc>
        <w:tc>
          <w:tcPr>
            <w:tcW w:type="dxa" w:w="1661"/>
          </w:tcPr>
          <w:p>
            <w:pPr>
              <w:pStyle w:val="null3"/>
            </w:pPr>
            <w:r>
              <w:rPr>
                <w:rFonts w:ascii="仿宋_GB2312" w:hAnsi="仿宋_GB2312" w:cs="仿宋_GB2312" w:eastAsia="仿宋_GB2312"/>
              </w:rPr>
              <w:t>响应文件格式-3.docx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响应文件格式-1.docx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按照招标文件规定要求签署、盖章的。法定代表人或法定代表人授权书。</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响应文件格式-1.docx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 响应文件格式-1.docx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满足本招标文件中标注的实质性条款（服务期限、供货或服务地点、支付方式、支付约定）要求的</w:t>
            </w:r>
          </w:p>
        </w:tc>
        <w:tc>
          <w:tcPr>
            <w:tcW w:type="dxa" w:w="1661"/>
          </w:tcPr>
          <w:p>
            <w:pPr>
              <w:pStyle w:val="null3"/>
            </w:pPr>
            <w:r>
              <w:rPr>
                <w:rFonts w:ascii="仿宋_GB2312" w:hAnsi="仿宋_GB2312" w:cs="仿宋_GB2312" w:eastAsia="仿宋_GB2312"/>
              </w:rPr>
              <w:t>响应文件格式-1.docx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响应文件格式-1.docx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响应文件格式-2.docx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按照招标文件规定要求签署、盖章的。法定代表人或法定代表人授权书。</w:t>
            </w:r>
          </w:p>
        </w:tc>
        <w:tc>
          <w:tcPr>
            <w:tcW w:type="dxa" w:w="1661"/>
          </w:tcPr>
          <w:p>
            <w:pPr>
              <w:pStyle w:val="null3"/>
            </w:pPr>
            <w:r>
              <w:rPr>
                <w:rFonts w:ascii="仿宋_GB2312" w:hAnsi="仿宋_GB2312" w:cs="仿宋_GB2312" w:eastAsia="仿宋_GB2312"/>
              </w:rPr>
              <w:t>开标一览表 响应文件格式-2.docx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响应文件格式-2.docx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满足本招标文件中标注的实质性条款（服务期限、服务地点、支付方式、支付约定）要求的</w:t>
            </w:r>
          </w:p>
        </w:tc>
        <w:tc>
          <w:tcPr>
            <w:tcW w:type="dxa" w:w="1661"/>
          </w:tcPr>
          <w:p>
            <w:pPr>
              <w:pStyle w:val="null3"/>
            </w:pPr>
            <w:r>
              <w:rPr>
                <w:rFonts w:ascii="仿宋_GB2312" w:hAnsi="仿宋_GB2312" w:cs="仿宋_GB2312" w:eastAsia="仿宋_GB2312"/>
              </w:rPr>
              <w:t>响应文件格式-2.docx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响应文件格式-2.docx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中小企业声明函 残疾人福利性单位声明函 响应文件格式-3.docx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按照招标文件规定要求签署、盖章的。法定代表人或法定代表人授权书。</w:t>
            </w:r>
          </w:p>
        </w:tc>
        <w:tc>
          <w:tcPr>
            <w:tcW w:type="dxa" w:w="1661"/>
          </w:tcPr>
          <w:p>
            <w:pPr>
              <w:pStyle w:val="null3"/>
            </w:pPr>
            <w:r>
              <w:rPr>
                <w:rFonts w:ascii="仿宋_GB2312" w:hAnsi="仿宋_GB2312" w:cs="仿宋_GB2312" w:eastAsia="仿宋_GB2312"/>
              </w:rPr>
              <w:t>开标一览表 投标函 中小企业声明函 残疾人福利性单位声明函 响应文件格式-3.docx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响应文件格式-3.docx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满足本招标文件中标注的实质性条款（服务期限、服务地点、支付方式、支付约定）要求的</w:t>
            </w:r>
          </w:p>
        </w:tc>
        <w:tc>
          <w:tcPr>
            <w:tcW w:type="dxa" w:w="1661"/>
          </w:tcPr>
          <w:p>
            <w:pPr>
              <w:pStyle w:val="null3"/>
            </w:pPr>
            <w:r>
              <w:rPr>
                <w:rFonts w:ascii="仿宋_GB2312" w:hAnsi="仿宋_GB2312" w:cs="仿宋_GB2312" w:eastAsia="仿宋_GB2312"/>
              </w:rPr>
              <w:t>响应文件格式-3.docx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响应文件格式-3.docx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投标人针对本项目技术要求提供详细、具体、可行的实施方案，且方案合理科学，措施得当，并对本项目实施的重点、难点给出相应的解决方案。 方案优于采购需求，结构合理、软硬件条件好、工作人员经验丰富，实际可行，得17分； 方案完整，结构合理、软硬件条件好、工作人员经验丰富，实际可行，得15分； 方案简单，有实施方案及解决方案的，得10分； 能提供实施方案大纲的，内容过于简单的，得6分； 方案空泛，不利于项目实施的，得3分， 未提供的不计分。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响应文件格式-1.docx</w:t>
            </w:r>
          </w:p>
        </w:tc>
      </w:tr>
      <w:tr>
        <w:tc>
          <w:tcPr>
            <w:tcW w:type="dxa" w:w="831"/>
            <w:vMerge/>
          </w:tcPr>
          <w:p/>
        </w:tc>
        <w:tc>
          <w:tcPr>
            <w:tcW w:type="dxa" w:w="1661"/>
          </w:tcPr>
          <w:p>
            <w:pPr>
              <w:pStyle w:val="null3"/>
            </w:pPr>
            <w:r>
              <w:rPr>
                <w:rFonts w:ascii="仿宋_GB2312" w:hAnsi="仿宋_GB2312" w:cs="仿宋_GB2312" w:eastAsia="仿宋_GB2312"/>
              </w:rPr>
              <w:t>技术方法</w:t>
            </w:r>
          </w:p>
        </w:tc>
        <w:tc>
          <w:tcPr>
            <w:tcW w:type="dxa" w:w="2492"/>
          </w:tcPr>
          <w:p>
            <w:pPr>
              <w:pStyle w:val="null3"/>
            </w:pPr>
            <w:r>
              <w:rPr>
                <w:rFonts w:ascii="仿宋_GB2312" w:hAnsi="仿宋_GB2312" w:cs="仿宋_GB2312" w:eastAsia="仿宋_GB2312"/>
              </w:rPr>
              <w:t>投标人对项目技术要求提出合理科学可行的技术方法，技术方法有针对性，能解决项目的技术难点。数据源选择、信息提取方法满足各项监测内容需求，信息系统建设内容明确，对系统子模块设计合理完整。 方案优于采购需求，技术方法有针对性能解决项目的技术难点且实际可行的，得17分； 方案完整完全满足采购需求的，得15分； 方案简单，有实施方案及解决方案的，得10分； 能提供实施方案大纲的，内容过于简单的，得6分； 方案空泛，不利于项目实施的，得3分， 未提供的不计分。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响应文件格式-1.docx</w:t>
            </w:r>
          </w:p>
        </w:tc>
      </w:tr>
      <w:tr>
        <w:tc>
          <w:tcPr>
            <w:tcW w:type="dxa" w:w="831"/>
            <w:vMerge/>
          </w:tcPr>
          <w:p/>
        </w:tc>
        <w:tc>
          <w:tcPr>
            <w:tcW w:type="dxa" w:w="1661"/>
          </w:tcPr>
          <w:p>
            <w:pPr>
              <w:pStyle w:val="null3"/>
            </w:pPr>
            <w:r>
              <w:rPr>
                <w:rFonts w:ascii="仿宋_GB2312" w:hAnsi="仿宋_GB2312" w:cs="仿宋_GB2312" w:eastAsia="仿宋_GB2312"/>
              </w:rPr>
              <w:t>质量管控</w:t>
            </w:r>
          </w:p>
        </w:tc>
        <w:tc>
          <w:tcPr>
            <w:tcW w:type="dxa" w:w="2492"/>
          </w:tcPr>
          <w:p>
            <w:pPr>
              <w:pStyle w:val="null3"/>
            </w:pPr>
            <w:r>
              <w:rPr>
                <w:rFonts w:ascii="仿宋_GB2312" w:hAnsi="仿宋_GB2312" w:cs="仿宋_GB2312" w:eastAsia="仿宋_GB2312"/>
              </w:rPr>
              <w:t>投标人提供针对本项目内部技术和质量管控体系工作方案，管控体系健全，人员安排合理，责任划分明确，管理组织架构完整优秀的，得5分； 有人员安排，能提供管控体系和管理组织架构，一般的，得3分； 人员安排模糊，责任划分不明确的.得1分； 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响应文件格式-1.docx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投标人提供的售后服务方案、售后服务承诺的可行性、完整性以及服务承诺落实的保障措施，维护期内外的后续技术支持和维护能力情况等。 方案完整完全满足采购需求的，得5分， 方案一般，有实施方案及解决方案的，得3分， 方案空泛，不利于项目实施的，得1分， 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响应文件格式-1.docx</w:t>
            </w:r>
          </w:p>
        </w:tc>
      </w:tr>
      <w:tr>
        <w:tc>
          <w:tcPr>
            <w:tcW w:type="dxa" w:w="831"/>
            <w:vMerge/>
          </w:tcPr>
          <w:p/>
        </w:tc>
        <w:tc>
          <w:tcPr>
            <w:tcW w:type="dxa" w:w="1661"/>
          </w:tcPr>
          <w:p>
            <w:pPr>
              <w:pStyle w:val="null3"/>
            </w:pPr>
            <w:r>
              <w:rPr>
                <w:rFonts w:ascii="仿宋_GB2312" w:hAnsi="仿宋_GB2312" w:cs="仿宋_GB2312" w:eastAsia="仿宋_GB2312"/>
              </w:rPr>
              <w:t>技术路线</w:t>
            </w:r>
          </w:p>
        </w:tc>
        <w:tc>
          <w:tcPr>
            <w:tcW w:type="dxa" w:w="2492"/>
          </w:tcPr>
          <w:p>
            <w:pPr>
              <w:pStyle w:val="null3"/>
            </w:pPr>
            <w:r>
              <w:rPr>
                <w:rFonts w:ascii="仿宋_GB2312" w:hAnsi="仿宋_GB2312" w:cs="仿宋_GB2312" w:eastAsia="仿宋_GB2312"/>
              </w:rPr>
              <w:t>投标人对项目背景、目标、内容、需求认知全面、准确，提出科学、可行的数据处理技术路线，能确保障遥感监测的精度，信息系统框架结构完整。 技术路线方案优于采购需求的，得12分； 技术路线方案完全满足采购需求的，得10分； 技术路线方案一般的，得5分； 技术路线方案空泛不利于项目实施的，得2分； 未提供的不计分。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响应文件格式-1.docx</w:t>
            </w:r>
          </w:p>
        </w:tc>
      </w:tr>
      <w:tr>
        <w:tc>
          <w:tcPr>
            <w:tcW w:type="dxa" w:w="831"/>
            <w:vMerge/>
          </w:tcPr>
          <w:p/>
        </w:tc>
        <w:tc>
          <w:tcPr>
            <w:tcW w:type="dxa" w:w="1661"/>
          </w:tcPr>
          <w:p>
            <w:pPr>
              <w:pStyle w:val="null3"/>
            </w:pPr>
            <w:r>
              <w:rPr>
                <w:rFonts w:ascii="仿宋_GB2312" w:hAnsi="仿宋_GB2312" w:cs="仿宋_GB2312" w:eastAsia="仿宋_GB2312"/>
              </w:rPr>
              <w:t>数据保障</w:t>
            </w:r>
          </w:p>
        </w:tc>
        <w:tc>
          <w:tcPr>
            <w:tcW w:type="dxa" w:w="2492"/>
          </w:tcPr>
          <w:p>
            <w:pPr>
              <w:pStyle w:val="null3"/>
            </w:pPr>
            <w:r>
              <w:rPr>
                <w:rFonts w:ascii="仿宋_GB2312" w:hAnsi="仿宋_GB2312" w:cs="仿宋_GB2312" w:eastAsia="仿宋_GB2312"/>
              </w:rPr>
              <w:t>投标人提供国产高分数据源保障管理方案，科学、合理、高效，与数据提供商有良好的协调、合作机制。 方案完整完全满足采购需求的，得5分， 方案一般，有实施方案及解决方案的，得3分， 方案空泛，不利于项目实施的，得1分， 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响应文件格式-1.docx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投标人提供可靠的、合理的数据保密、数据管理方案和具体措施。 措施完整完全满足采购需求的，得5分， 措施一般，有实施方案及解决方案的，得3分， 措施空泛，不利于项目实施的，得1分， 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响应文件格式-1.docx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投标人提供2022年以来（以合同生效日为准），投标人具有的类似项目业绩的，每提供一个得2分，最高得4分。 注：业绩证明至少包含关键页和首尾页并加盖投标人公章。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响应文件格式-1.docx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满足文件要求且报价最低的供应商的价格为基准价，其价格分为满分。其他供应商的价格分统一按照下列公式计算： 报价得分=（基准价/报价）×价格权值×100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针对本项目的采购需求进行方案编制，提供的实施方案优于本次采购需求的，得16分； 针对本项目的投标实施方案，设计合理，方案可行，内容齐全，能体现出所投产品的先进性、科学性。实施方案合理、完善、全面，针对性强，可行性强的，得12分； 实施方案基本合理、内容比较齐全、基本可行得6分； 实施方案不合理，内容部分欠缺，可行性差得2分； 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响应文件格式-2.docx</w:t>
            </w:r>
          </w:p>
        </w:tc>
      </w:tr>
      <w:tr>
        <w:tc>
          <w:tcPr>
            <w:tcW w:type="dxa" w:w="831"/>
            <w:vMerge/>
          </w:tcPr>
          <w:p/>
        </w:tc>
        <w:tc>
          <w:tcPr>
            <w:tcW w:type="dxa" w:w="1661"/>
          </w:tcPr>
          <w:p>
            <w:pPr>
              <w:pStyle w:val="null3"/>
            </w:pPr>
            <w:r>
              <w:rPr>
                <w:rFonts w:ascii="仿宋_GB2312" w:hAnsi="仿宋_GB2312" w:cs="仿宋_GB2312" w:eastAsia="仿宋_GB2312"/>
              </w:rPr>
              <w:t>供货保证措施</w:t>
            </w:r>
          </w:p>
        </w:tc>
        <w:tc>
          <w:tcPr>
            <w:tcW w:type="dxa" w:w="2492"/>
          </w:tcPr>
          <w:p>
            <w:pPr>
              <w:pStyle w:val="null3"/>
            </w:pPr>
            <w:r>
              <w:rPr>
                <w:rFonts w:ascii="仿宋_GB2312" w:hAnsi="仿宋_GB2312" w:cs="仿宋_GB2312" w:eastAsia="仿宋_GB2312"/>
              </w:rPr>
              <w:t>供应商针对本次采购任务有具体的备货、供货组织安排，运输等说明及保证措施，根据投标文件综合评定。说明及保证措施合理、完善、全面，可行性强得10分； 说明及保证措施一般、内容比较完善、基本可行得6分； 说明及保证措施不合理，内容不完善，可行性差得2分；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响应文件格式-2.docx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1.产品质量保证措施合理、完善、全面，可行性强得10分；措施一般、内容比较完善、基本可行得5分。 2.可提供由制造商出具的产品质量保证承诺函，得5分。 以上未提供不得分。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响应文件格式-2.docx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1.针对本项目及采购人实际需要，提供详细具体可行的售后服务方案，具备合理的售后服务流程和故障响应与处理机制及定期巡检及技术交流。 售后服务方案可行、内容全面详细，可行性强得5分； 售后服务方案部分欠缺、内容表述不清，基本可行得3分； 售后服务方案较差，内容较差，可行性差得1分。 2.针对本项目的培训计划。包括人员配备、技术资料及测试、试运转、验收等内容。 培训内容全面，详细、针对性强、实施性强得5分； 培训内容部分欠缺，基本可行得2-3 分； 培训内容较差，实施性差得1分。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响应文件格式-2.docx</w:t>
            </w:r>
          </w:p>
        </w:tc>
      </w:tr>
      <w:tr>
        <w:tc>
          <w:tcPr>
            <w:tcW w:type="dxa" w:w="831"/>
            <w:vMerge/>
          </w:tcPr>
          <w:p/>
        </w:tc>
        <w:tc>
          <w:tcPr>
            <w:tcW w:type="dxa" w:w="1661"/>
          </w:tcPr>
          <w:p>
            <w:pPr>
              <w:pStyle w:val="null3"/>
            </w:pPr>
            <w:r>
              <w:rPr>
                <w:rFonts w:ascii="仿宋_GB2312" w:hAnsi="仿宋_GB2312" w:cs="仿宋_GB2312" w:eastAsia="仿宋_GB2312"/>
              </w:rPr>
              <w:t>服务及承诺</w:t>
            </w:r>
          </w:p>
        </w:tc>
        <w:tc>
          <w:tcPr>
            <w:tcW w:type="dxa" w:w="2492"/>
          </w:tcPr>
          <w:p>
            <w:pPr>
              <w:pStyle w:val="null3"/>
            </w:pPr>
            <w:r>
              <w:rPr>
                <w:rFonts w:ascii="仿宋_GB2312" w:hAnsi="仿宋_GB2312" w:cs="仿宋_GB2312" w:eastAsia="仿宋_GB2312"/>
              </w:rPr>
              <w:t>对供货期、进度、人员到位情况、工作准确规范性与成果一致性情况作出实质性承诺（应包含不能完全履行承诺时愿意接受相关处罚的承诺）。承诺内容完善计6 分；承诺内容比较完善计4分；有承诺但响应内容比较差的计2 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响应文件格式-2.docx</w:t>
            </w:r>
          </w:p>
        </w:tc>
      </w:tr>
      <w:tr>
        <w:tc>
          <w:tcPr>
            <w:tcW w:type="dxa" w:w="831"/>
            <w:vMerge/>
          </w:tcPr>
          <w:p/>
        </w:tc>
        <w:tc>
          <w:tcPr>
            <w:tcW w:type="dxa" w:w="1661"/>
          </w:tcPr>
          <w:p>
            <w:pPr>
              <w:pStyle w:val="null3"/>
            </w:pPr>
            <w:r>
              <w:rPr>
                <w:rFonts w:ascii="仿宋_GB2312" w:hAnsi="仿宋_GB2312" w:cs="仿宋_GB2312" w:eastAsia="仿宋_GB2312"/>
              </w:rPr>
              <w:t>质量证明资料</w:t>
            </w:r>
          </w:p>
        </w:tc>
        <w:tc>
          <w:tcPr>
            <w:tcW w:type="dxa" w:w="2492"/>
          </w:tcPr>
          <w:p>
            <w:pPr>
              <w:pStyle w:val="null3"/>
            </w:pPr>
            <w:r>
              <w:rPr>
                <w:rFonts w:ascii="仿宋_GB2312" w:hAnsi="仿宋_GB2312" w:cs="仿宋_GB2312" w:eastAsia="仿宋_GB2312"/>
              </w:rPr>
              <w:t>1、能提供所投产品的技术指标和功能证明材料，包括但不限于产品介绍、彩页、说明书、检测报告、官网和功能截图、此项3分。 2、能提供所投产品合法来源渠道证明文件:包括但不限于产品制造商授权、销售协议、代理协议及质量符合国内相关标准等，此项3分。 3、能提供所投产品原材料证明资料的: 包括但不限于产品介绍、彩页、说明书、检测报告、官网和功能截图、此项3分。 以上未提供不得分。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响应文件格式-2.docx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投标人提供2022年以来（以合同生效日为准），投标人具有的类似项目业绩的，每提供一个得2分，最高得4分。 注：业绩证明至少包含关键页和首尾页并加盖投标人公章。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响应文件格式-2.docx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满足文件要求且报价最低的供应商的价格为基准价，其价格分为满分。其他供应商的价格分统一按照下列公式计算： 报价得分=（基准价/报价）×价格权值×100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供应商针对本项目的总体服务方案，包括但不限于①项目需求理解；②服务计划；③作业进度；④作业质量；⑤重点部位作业方法；⑥防治作业专业技术力量；⑦农业培训等。 二、赋分标准(满分21分) 整体服务方案内容完善、全面合理、架构完整、层次清楚、具有针对性和可实施性，得21分，缺失1项扣3分。每项中每有一处不合理(不合理是指:方案不符合服务技术要求相关内容、内容错误、描述有歧义、逻辑有漏洞、表述不清)的扣0.5 分，扣完为止。</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响应文件格式-3.docx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一、评审内容： 供应商针对本项目提供详细的人员配备方案包括但不限于①人员数量、分工、从业经验等；②岗位配备及职责；③人员培训（岗前培训、安全培训、定期培训）；④农业培训。 二、赋分标准：（满分12分） 方案内容完善、全面合理、架构完整、层次清楚、具有针对性和可实施性，得12分，缺失1项扣3分。每项中每有一处不合理(不合理是指:方案不符合服务技术要求相关内容、内容错误、描述有歧义、逻辑有漏洞、表述不清)的扣0.5 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响应文件格式-3.docx</w:t>
            </w:r>
          </w:p>
        </w:tc>
      </w:tr>
      <w:tr>
        <w:tc>
          <w:tcPr>
            <w:tcW w:type="dxa" w:w="831"/>
            <w:vMerge/>
          </w:tcPr>
          <w:p/>
        </w:tc>
        <w:tc>
          <w:tcPr>
            <w:tcW w:type="dxa" w:w="1661"/>
          </w:tcPr>
          <w:p>
            <w:pPr>
              <w:pStyle w:val="null3"/>
            </w:pPr>
            <w:r>
              <w:rPr>
                <w:rFonts w:ascii="仿宋_GB2312" w:hAnsi="仿宋_GB2312" w:cs="仿宋_GB2312" w:eastAsia="仿宋_GB2312"/>
              </w:rPr>
              <w:t>设备配备方案</w:t>
            </w:r>
          </w:p>
        </w:tc>
        <w:tc>
          <w:tcPr>
            <w:tcW w:type="dxa" w:w="2492"/>
          </w:tcPr>
          <w:p>
            <w:pPr>
              <w:pStyle w:val="null3"/>
            </w:pPr>
            <w:r>
              <w:rPr>
                <w:rFonts w:ascii="仿宋_GB2312" w:hAnsi="仿宋_GB2312" w:cs="仿宋_GB2312" w:eastAsia="仿宋_GB2312"/>
              </w:rPr>
              <w:t>一、评审内容: 供应商针对本项目需求提供喷防器械、药剂、材料、工具等配置方案（包括物料配置清单、使用功能等内容）。 二、赋分标准(5分): 整体方案内容完善、全面合理、架构完整、层次清楚、具有针对性和可实施性，得5分，每有一处不合理(不合理是指:方案不符合服务技术要求相关内容、内容错误、描述有歧义、逻辑有漏洞、表述不清)的扣1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响应文件格式-3.docx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 供应商针对本项目制定的质量保障方案，包括但不限于①服务质量保障体系；②药剂用量使用标准；③药剂符合国家相关标准，证明材料充足；④防治效果质量保障；⑤技术组织保障措施；⑥后期补防措施。 二、赋分标准(18分): 整体方案内容完善、全面合理、架构完整、层次清楚、具有针对性和可实施性，得18分，缺失1项扣3分。每项中每有一处不合理(不合理是指:方案不符合服务技术要求相关内容、内容错误、描述有歧义、逻辑有漏洞、表述不清)的扣0.5 分，扣完为止。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响应文件格式-3.docx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供应商针对本项目制定的应急方案，包括但不限于①在作业过程中出现突发问题的应急处置方案;②应急响应时间:③出现突发状况应急人员安排。 二、赋分标准(9分): 整体方案内容完善、全面合理、架构完整、层次清楚、具有针对性和可实施性，得9分，缺失1项扣3分。每项中每有一处不合理(不合理是指:方案不符合服务技术要求相关内容、内容错误、描述有歧义、逻辑有漏洞、表述不清)的扣0.5 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响应文件格式-3.docx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一、评审内容: 供应商针对本项目制定的安全保障方案，包括但不限于①在作业过程中人员安全保障措施;②作业环境安全防范;③药剂使用安全保障。 二、赋分标准(9分): 整体方案内容完善、全面合理、架构完整、层次清楚、具有针对性和可实施性，得9分，缺失1项扣3分。每项中每有一处不合理(不合理是指:方案不符合服务技术要求相关内容、内容错误、描述有歧义、逻辑有漏洞、表述不清)的扣0.5 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响应文件格式-3.docx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供应商针对本项目的服务承诺包括但不限于：①防治效果的检验②出现特殊情况的后期补防③项目交付后出现缺陷的响应时间及措施④农业培训服务承诺。 二、赋分标准(12分): 承诺内容完善、全面合理、架构完整、层次清楚、具有针对性和可实施性，得12分，缺失1项扣3分。每项中每有一处不合理(不合理是指:方案不符合服务技术要求相关内容、内容错误、描述有歧义、逻辑有漏洞、表述不清)的扣0.5 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响应文件格式-3.docx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投标人提供2022年以来（以合同生效日为准），投标人具有的类似项目业绩的，每提供一个得2分，最高得4分。 注：业绩证明至少包含关键页和首尾页并加盖投标人公章。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响应文件格式-3.docx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满足文件要求且报价最低的供应商的价格为基准价，其价格分为满分。其他供应商的价格分统一按照下列公式计算： 报价得分=（基准价/报价）×价格权值×100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详见附件：响应文件格式-1.docx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详见附件：响应文件格式-2.docx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详见附件：响应文件格式-3.docx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