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版本号：TWZB2025-14120250806001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金峪镇村级生活垃圾治理提升项目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TWZB2025-141</w:t>
      </w:r>
      <w:r>
        <w:br/>
      </w:r>
      <w:r>
        <w:br/>
      </w:r>
      <w:r>
        <w:br/>
      </w:r>
    </w:p>
    <w:p>
      <w:pPr>
        <w:pStyle w:val="null3"/>
        <w:jc w:val="center"/>
        <w:outlineLvl w:val="2"/>
      </w:pPr>
      <w:r>
        <w:rPr>
          <w:rFonts w:ascii="仿宋_GB2312" w:hAnsi="仿宋_GB2312" w:cs="仿宋_GB2312" w:eastAsia="仿宋_GB2312"/>
          <w:sz w:val="28"/>
          <w:b/>
        </w:rPr>
        <w:t>合阳县金峪镇人民政府</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合阳县金峪镇人民政府</w:t>
      </w:r>
      <w:r>
        <w:rPr>
          <w:rFonts w:ascii="仿宋_GB2312" w:hAnsi="仿宋_GB2312" w:cs="仿宋_GB2312" w:eastAsia="仿宋_GB2312"/>
        </w:rPr>
        <w:t>委托，拟对</w:t>
      </w:r>
      <w:r>
        <w:rPr>
          <w:rFonts w:ascii="仿宋_GB2312" w:hAnsi="仿宋_GB2312" w:cs="仿宋_GB2312" w:eastAsia="仿宋_GB2312"/>
        </w:rPr>
        <w:t>金峪镇村级生活垃圾治理提升项目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TWZB2025-141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金峪镇村级生活垃圾治理提升项目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新建村级垃圾中转站、购置移动式垃圾压缩设备及设施配套。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采购包1（垃圾中转站等建设工程）：属于专门面向中小企业采购。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2、资质要求：具备建设行政主管部门核发的建筑工程施工总承包三级及以上资质，并在人员、设备、资金等方面具有相应的施工能力；具有有效期内的安全生产许可证。</w:t>
      </w:r>
    </w:p>
    <w:p>
      <w:pPr>
        <w:pStyle w:val="null3"/>
      </w:pPr>
      <w:r>
        <w:rPr>
          <w:rFonts w:ascii="仿宋_GB2312" w:hAnsi="仿宋_GB2312" w:cs="仿宋_GB2312" w:eastAsia="仿宋_GB2312"/>
        </w:rPr>
        <w:t>3、项目经理资质：拟派项目经理须具备建筑工程专业二级及以上注册建造师资格和有效的安全生产考核合格证书并且无在建项目。</w:t>
      </w:r>
    </w:p>
    <w:p>
      <w:pPr>
        <w:pStyle w:val="null3"/>
      </w:pPr>
      <w:r>
        <w:rPr>
          <w:rFonts w:ascii="仿宋_GB2312" w:hAnsi="仿宋_GB2312" w:cs="仿宋_GB2312" w:eastAsia="仿宋_GB2312"/>
        </w:rPr>
        <w:t>4、供应商授权合法的人员参加投标全过程：法定代表人直接参加投标，须提交法定代表人身份证明书和身份证。法定代表人授权代表参加投标的，须出具法定代表人授权书及法人和授权代表身份证。</w:t>
      </w:r>
    </w:p>
    <w:p>
      <w:pPr>
        <w:pStyle w:val="null3"/>
      </w:pPr>
      <w:r>
        <w:rPr>
          <w:rFonts w:ascii="仿宋_GB2312" w:hAnsi="仿宋_GB2312" w:cs="仿宋_GB2312" w:eastAsia="仿宋_GB2312"/>
        </w:rPr>
        <w:t>5、财务状况报告：供应商提供2024年度的财务审计报告（至少包括资产负债表、利润表和现金流量表），或其开标前三个月内基本存款账户开户银行出具的资信证明及基本存款账户开户许可证。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2、具有履行合同所必需的设备和专业技术能力：提供具有履行合同所必需的设备和专业技术能力的承诺。</w:t>
      </w:r>
    </w:p>
    <w:p>
      <w:pPr>
        <w:pStyle w:val="null3"/>
      </w:pPr>
      <w:r>
        <w:rPr>
          <w:rFonts w:ascii="仿宋_GB2312" w:hAnsi="仿宋_GB2312" w:cs="仿宋_GB2312" w:eastAsia="仿宋_GB2312"/>
        </w:rPr>
        <w:t>3、供应商授权合法的人员参加投标全过程：法定代表人直接参加投标，须提交法定代表人身份证明书和身份证。法定代表人授权代表参加投标的，须出具法定代表人授权书及法人和授权代表身份证。</w:t>
      </w:r>
    </w:p>
    <w:p>
      <w:pPr>
        <w:pStyle w:val="null3"/>
      </w:pPr>
      <w:r>
        <w:rPr>
          <w:rFonts w:ascii="仿宋_GB2312" w:hAnsi="仿宋_GB2312" w:cs="仿宋_GB2312" w:eastAsia="仿宋_GB2312"/>
        </w:rPr>
        <w:t>4、财务状况报告：供应商提供2024年度的财务审计报告（至少包括资产负债表、利润表和现金流量表），或其开标前三个月内基本存款账户开户银行出具的资信证明及基本存款账户开户许可证。</w:t>
      </w:r>
    </w:p>
    <w:p>
      <w:pPr>
        <w:pStyle w:val="null3"/>
      </w:pPr>
      <w:r>
        <w:rPr>
          <w:rFonts w:ascii="仿宋_GB2312" w:hAnsi="仿宋_GB2312" w:cs="仿宋_GB2312" w:eastAsia="仿宋_GB2312"/>
        </w:rPr>
        <w:t>5、社会保障资金缴纳证明：供应商提供2025年1月至今任意一个月的社保机构开具的社会保险参保缴费情况证明，依法不需要缴纳社会保障资金的供应商应提供相关文件证明。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7、中小企业声明函（如是）：提供《中小企业声明函》；供应商为监狱企业的，应提供监狱企业相关资格证明材料；供应商为残疾人福利性单位的，应提供《残疾人福利性单位声明函》。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8、供应商信用查询：供应商不得在“信用中国”网站（中国执行信息公开网）被列为失信被执行人，不得在“国家企业信用信息公示系统”中被列入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合阳县金峪镇人民政府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金峪镇东大街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15877435922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陕西省西安市经济技术开发区凤城十一路文景广场3号楼1202室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13201996600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采购包1：490,468.42元</w:t>
            </w:r>
          </w:p>
          <w:p>
            <w:pPr>
              <w:pStyle w:val="null3"/>
            </w:pPr>
            <w:r>
              <w:rPr>
                <w:rFonts w:ascii="仿宋_GB2312" w:hAnsi="仿宋_GB2312" w:cs="仿宋_GB2312" w:eastAsia="仿宋_GB2312"/>
              </w:rPr>
              <w:t>采购包2：676,331.58元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合阳县金峪镇人民政府</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合阳县金峪镇人民政府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联系电话：13201996600</w:t>
      </w:r>
    </w:p>
    <w:p>
      <w:pPr>
        <w:pStyle w:val="null3"/>
      </w:pPr>
      <w:r>
        <w:rPr>
          <w:rFonts w:ascii="仿宋_GB2312" w:hAnsi="仿宋_GB2312" w:cs="仿宋_GB2312" w:eastAsia="仿宋_GB2312"/>
        </w:rPr>
        <w:t>地址：陕西省西安市经济技术开发区凤城十一路文景广场3号楼1202室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新建村级垃圾中转站、购置移动式垃圾压缩设备及设施配套。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490,468.42</w:t>
      </w:r>
    </w:p>
    <w:p>
      <w:pPr>
        <w:pStyle w:val="null3"/>
      </w:pPr>
      <w:r>
        <w:rPr>
          <w:rFonts w:ascii="仿宋_GB2312" w:hAnsi="仿宋_GB2312" w:cs="仿宋_GB2312" w:eastAsia="仿宋_GB2312"/>
        </w:rPr>
        <w:t>采购包最高限价（元）: 490,468.42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垃圾中转站等建设工程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490,468.42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676,331.58</w:t>
      </w:r>
    </w:p>
    <w:p>
      <w:pPr>
        <w:pStyle w:val="null3"/>
      </w:pPr>
      <w:r>
        <w:rPr>
          <w:rFonts w:ascii="仿宋_GB2312" w:hAnsi="仿宋_GB2312" w:cs="仿宋_GB2312" w:eastAsia="仿宋_GB2312"/>
        </w:rPr>
        <w:t>采购包最高限价（元）: 676,331.58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环卫相关设备采购</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676,331.58</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标的名称：垃圾中转站等建设工程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垃圾站</w:t>
            </w:r>
            <w:r>
              <w:rPr>
                <w:rFonts w:ascii="仿宋_GB2312" w:hAnsi="仿宋_GB2312" w:cs="仿宋_GB2312" w:eastAsia="仿宋_GB2312"/>
                <w:sz w:val="19"/>
                <w:color w:val="000000"/>
              </w:rPr>
              <w:t>60㎡</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9"/>
                <w:color w:val="000000"/>
              </w:rPr>
              <w:t>垃圾站</w:t>
            </w:r>
            <w:r>
              <w:rPr>
                <w:rFonts w:ascii="仿宋_GB2312" w:hAnsi="仿宋_GB2312" w:cs="仿宋_GB2312" w:eastAsia="仿宋_GB2312"/>
                <w:sz w:val="19"/>
                <w:color w:val="000000"/>
              </w:rPr>
              <w:t>120㎡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标的名称：环卫相关设备采购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1.压缩机外型尺寸：≧6200×≦2500×≦2500mm</w:t>
            </w:r>
            <w:r>
              <w:br/>
            </w:r>
            <w:r>
              <w:rPr>
                <w:rFonts w:ascii="仿宋_GB2312" w:hAnsi="仿宋_GB2312" w:cs="仿宋_GB2312" w:eastAsia="仿宋_GB2312"/>
                <w:sz w:val="21"/>
              </w:rPr>
              <w:t>2.压缩设备自重：≧6t</w:t>
            </w:r>
            <w:r>
              <w:br/>
            </w:r>
            <w:r>
              <w:rPr>
                <w:rFonts w:ascii="仿宋_GB2312" w:hAnsi="仿宋_GB2312" w:cs="仿宋_GB2312" w:eastAsia="仿宋_GB2312"/>
                <w:sz w:val="21"/>
              </w:rPr>
              <w:t>3.箱体钢板厚度：≧5mm</w:t>
            </w:r>
            <w:r>
              <w:br/>
            </w:r>
            <w:r>
              <w:rPr>
                <w:rFonts w:ascii="仿宋_GB2312" w:hAnsi="仿宋_GB2312" w:cs="仿宋_GB2312" w:eastAsia="仿宋_GB2312"/>
                <w:sz w:val="21"/>
              </w:rPr>
              <w:t>4.容积：≧17 m³</w:t>
            </w:r>
            <w:r>
              <w:br/>
            </w:r>
            <w:r>
              <w:rPr>
                <w:rFonts w:ascii="仿宋_GB2312" w:hAnsi="仿宋_GB2312" w:cs="仿宋_GB2312" w:eastAsia="仿宋_GB2312"/>
                <w:sz w:val="21"/>
              </w:rPr>
              <w:t>5.料斗容积：≧3.0 m³</w:t>
            </w:r>
            <w:r>
              <w:br/>
            </w:r>
            <w:r>
              <w:rPr>
                <w:rFonts w:ascii="仿宋_GB2312" w:hAnsi="仿宋_GB2312" w:cs="仿宋_GB2312" w:eastAsia="仿宋_GB2312"/>
                <w:sz w:val="21"/>
              </w:rPr>
              <w:t>6.最大压缩力：≧340 KN</w:t>
            </w:r>
            <w:r>
              <w:br/>
            </w:r>
            <w:r>
              <w:rPr>
                <w:rFonts w:ascii="仿宋_GB2312" w:hAnsi="仿宋_GB2312" w:cs="仿宋_GB2312" w:eastAsia="仿宋_GB2312"/>
                <w:sz w:val="21"/>
              </w:rPr>
              <w:t>7.生活垃圾压实密度：≥0.75 t/m³</w:t>
            </w:r>
            <w:r>
              <w:br/>
            </w:r>
            <w:r>
              <w:rPr>
                <w:rFonts w:ascii="仿宋_GB2312" w:hAnsi="仿宋_GB2312" w:cs="仿宋_GB2312" w:eastAsia="仿宋_GB2312"/>
                <w:sz w:val="21"/>
              </w:rPr>
              <w:t>8.液压系统最大压力：22Mpa</w:t>
            </w:r>
            <w:r>
              <w:br/>
            </w:r>
            <w:r>
              <w:rPr>
                <w:rFonts w:ascii="仿宋_GB2312" w:hAnsi="仿宋_GB2312" w:cs="仿宋_GB2312" w:eastAsia="仿宋_GB2312"/>
                <w:sz w:val="21"/>
              </w:rPr>
              <w:t>9.液压系统工作压力：18-20Mpa</w:t>
            </w:r>
            <w:r>
              <w:br/>
            </w:r>
            <w:r>
              <w:rPr>
                <w:rFonts w:ascii="仿宋_GB2312" w:hAnsi="仿宋_GB2312" w:cs="仿宋_GB2312" w:eastAsia="仿宋_GB2312"/>
                <w:sz w:val="21"/>
              </w:rPr>
              <w:t>10.配套电机功率：≧5.5kw</w:t>
            </w:r>
            <w:r>
              <w:br/>
            </w:r>
            <w:r>
              <w:rPr>
                <w:rFonts w:ascii="仿宋_GB2312" w:hAnsi="仿宋_GB2312" w:cs="仿宋_GB2312" w:eastAsia="仿宋_GB2312"/>
                <w:sz w:val="21"/>
              </w:rPr>
              <w:t>11.电器控制系统：PLC智能控制系统</w:t>
            </w:r>
            <w:r>
              <w:br/>
            </w:r>
            <w:r>
              <w:rPr>
                <w:rFonts w:ascii="仿宋_GB2312" w:hAnsi="仿宋_GB2312" w:cs="仿宋_GB2312" w:eastAsia="仿宋_GB2312"/>
                <w:sz w:val="21"/>
              </w:rPr>
              <w:t>12.压缩方式：水平压缩</w:t>
            </w:r>
            <w:r>
              <w:br/>
            </w:r>
            <w:r>
              <w:rPr>
                <w:rFonts w:ascii="仿宋_GB2312" w:hAnsi="仿宋_GB2312" w:cs="仿宋_GB2312" w:eastAsia="仿宋_GB2312"/>
                <w:sz w:val="21"/>
              </w:rPr>
              <w:t>13.电源：380v，三相，50HZ</w:t>
            </w:r>
            <w:r>
              <w:br/>
            </w:r>
            <w:r>
              <w:rPr>
                <w:rFonts w:ascii="仿宋_GB2312" w:hAnsi="仿宋_GB2312" w:cs="仿宋_GB2312" w:eastAsia="仿宋_GB2312"/>
                <w:sz w:val="21"/>
              </w:rPr>
              <w:t>14.操作方式：无线遥控+触摸屏操作+物理按钮操作（三种操作模式）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合同签订生效后45日历天内交货完毕。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审计结束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以实际签订的合同为准。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以实际签订的合同为准。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以实际签订的合同为准。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活动执行下列政府采购政策（具体办法详见竞争性磋商文件）：（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 （11）《关于进一步加大政府采购支持中小企业力度的通知》（财库〔2022〕19号）；（12）《关于扩大政府采购支持绿色建材促进建筑品质提升政策实施范围的通知》（财库〔2022〕35号）; （13）其他需执行的政府采购政策。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供应商应提交的资格证明文件（1包）.docx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具备建设行政主管部门核发的建筑工程施工总承包三级及以上资质，并在人员、设备、资金等方面具有相应的施工能力；具有有效期内的安全生产许可证。</w:t>
            </w:r>
          </w:p>
        </w:tc>
        <w:tc>
          <w:tcPr>
            <w:tcW w:type="dxa" w:w="1661"/>
          </w:tcPr>
          <w:p>
            <w:pPr>
              <w:pStyle w:val="null3"/>
            </w:pPr>
            <w:r>
              <w:rPr>
                <w:rFonts w:ascii="仿宋_GB2312" w:hAnsi="仿宋_GB2312" w:cs="仿宋_GB2312" w:eastAsia="仿宋_GB2312"/>
              </w:rPr>
              <w:t>供应商应提交的资格证明文件（1包）.docx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拟派项目经理须具备建筑工程专业二级及以上注册建造师资格和有效的安全生产考核合格证书并且无在建项目。</w:t>
            </w:r>
          </w:p>
        </w:tc>
        <w:tc>
          <w:tcPr>
            <w:tcW w:type="dxa" w:w="1661"/>
          </w:tcPr>
          <w:p>
            <w:pPr>
              <w:pStyle w:val="null3"/>
            </w:pPr>
            <w:r>
              <w:rPr>
                <w:rFonts w:ascii="仿宋_GB2312" w:hAnsi="仿宋_GB2312" w:cs="仿宋_GB2312" w:eastAsia="仿宋_GB2312"/>
              </w:rPr>
              <w:t>供应商应提交的资格证明文件（1包）.docx 项目管理机构组成.docx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供应商应提交的资格证明文件（1包）.docx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供应商应提交的资格证明文件（1包）.docx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供应商应提交的资格证明文件（2包）.docx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供应商应提交的资格证明文件（2包）.docx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供应商应提交的资格证明文件（2包）.docx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供应商应提交的资格证明文件（2包）.docx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中小企业声明函（如是）</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网站（中国执行信息公开网）被列为失信被执行人，不得在“国家企业信用信息公示系统”中被列入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供应商应提交的资格证明文件（2包）.docx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磋商报价表（1包）.docx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响应文件封面 磋商报价表（1包）.docx 供应商应提交的资格证明文件（1包）.docx 技术要求响应.docx 中小企业声明函 残疾人福利性单位声明函 标的清单 响应函 项目管理机构组成.docx 业绩证明文件.docx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磋商报价表（1包）.docx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应满足竞争性磋商文件中要求的工期。</w:t>
            </w:r>
          </w:p>
        </w:tc>
        <w:tc>
          <w:tcPr>
            <w:tcW w:type="dxa" w:w="1661"/>
          </w:tcPr>
          <w:p>
            <w:pPr>
              <w:pStyle w:val="null3"/>
            </w:pPr>
            <w:r>
              <w:rPr>
                <w:rFonts w:ascii="仿宋_GB2312" w:hAnsi="仿宋_GB2312" w:cs="仿宋_GB2312" w:eastAsia="仿宋_GB2312"/>
              </w:rPr>
              <w:t>磋商报价表（1包）.docx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磋商报价表（2包）.docx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响应文件封面 技术方案.docx 分项报价表.docx 产品技术参数表 供应商应提交的资格证明文件（2包）.docx 中小企业声明函 残疾人福利性单位声明函 标的清单 响应函 业绩证明文件.docx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磋商报价表（2包）.docx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 xml:space="preserve"> 应满足竞争性磋商文件中要求的交货期限。</w:t>
            </w:r>
          </w:p>
        </w:tc>
        <w:tc>
          <w:tcPr>
            <w:tcW w:type="dxa" w:w="1661"/>
          </w:tcPr>
          <w:p>
            <w:pPr>
              <w:pStyle w:val="null3"/>
            </w:pPr>
            <w:r>
              <w:rPr>
                <w:rFonts w:ascii="仿宋_GB2312" w:hAnsi="仿宋_GB2312" w:cs="仿宋_GB2312" w:eastAsia="仿宋_GB2312"/>
              </w:rPr>
              <w:t>分项报价表.docx 标的清单 磋商报价表（2包）.docx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质量目标明确，有完善的质保体系，管理制度健全，质量保证体系运行机制合理、可行，过程控制检查（自检、互检、交接检）制度及落实措施合理可行。综合评定，得1-8分。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安全目标明确，安全管理制度、组织机构健全；安全生产责任制度、教育培训制度及考核机制健全完善，责任到位；安全技术交底制度规范，有应对突发事件的应急措施。综合评定，得1-8分。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总体施工方案科学、合理，可行、针对性强；专项施工方案、措施可行，有针对性。综合评定，得1-10分。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主要施工设备及测量、试验设备数量及规格配备计划合理；材料供应与物流组织计划合理、措施可行。综合评定，得1-8分。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供应商近三年（2022年8月1日至今）具有类似项目业绩，一项得2分，最高10分。（需提供合同复印件或扫描件并加盖公章，时间以合同签订时间为准，无签订时间的无效）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磋商报价表（1包）.docx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供应商对所投产品技术参数逐条进行明确响应，并提供相关证明材料。技术指标响应全部满足或优于竞争性磋商文件技术参数要求，得10分；技术指标参数一项不满足扣0.7分，扣完为止。 备注：1、证明材料要求：须提供由制造商加盖公章的产品证明材料（包括但不限于产品官网截图或用户使用说明书、产品介绍等）。各证明材料中的响应指标应保持一致，若不一致以最不利于技术参数响应的证明材料进行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有明确的项目组织机构及实施计划，针对本项目提供详细的供货方案说明（包括但不限于项目的人员配置、供货保证、货物运输、安装调试验收）等内容。方案内容完整齐全，运输、实施节点科学高效，安装调试验收完善，各方面有详细说明。综合赋分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来源合格证明文件，产品进货渠道正常，提供所投产品来源渠道合法的证明文件（包括但不限于制造商授权书等证明文件）；2.提供质量保证，（包括但不限于质量保证承诺、质量保证措施、质量保证体系）等内容，要求明确具体，确保项目整体质量满足采购人要求，各方面完全响应，有详细具体的说明。综合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或制造商）售后服务机构健全，具有售后服务机构及人员配置方案。2、所投产品质保期在满足采购文件要求的基础上，供应商应具有快速响应采购人的售后服务能力，并提供完整的售后服务方案（包含具体的售后服务承诺、售后服务内容、售后回访等方面）。方案容完整齐全，售后服务制度完善，有详细说明。综合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供应商的应急事故响应及处理方案（①延误交货应急处理方案；②突发或紧急售后问题应急处理方案）等进行综合评审，提供完整应急事故响应及处理方案等且内容完整，方案先进合理。综合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提供2022年8月1日以来供应商已完成同类货物供应的业绩，一份合同得1分，满分5分。需提供销售合同复印件，未按要求完整提供证明文件不得分，时间以合同签订时间为准，无签订时间的无效。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的最低值作为评标基准价，其价格为满分。其他供应商的报价得分按下列公式计算：报价得分=（评标基准价／投标报价）×40。符合竞争性磋商文件规定的小微企业、监狱企业、残疾人福利企业优惠条件的供应商，价格扣除根据政策性扣减方式进行计算，用扣除后的价格参与评审；因落实政府采购政策进行价格调整的，以调整后的价格计算评标基准价和报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磋商报价表（2包）.docx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磋商报价表（2包）.docx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详见附件：磋商报价表（1包）.docx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详见附件：供应商应提交的资格证明文件（1包）.docx</w:t>
      </w:r>
    </w:p>
    <w:p>
      <w:pPr>
        <w:pStyle w:val="null3"/>
        <w:ind w:firstLine="960"/>
      </w:pPr>
      <w:r>
        <w:rPr>
          <w:rFonts w:ascii="仿宋_GB2312" w:hAnsi="仿宋_GB2312" w:cs="仿宋_GB2312" w:eastAsia="仿宋_GB2312"/>
        </w:rPr>
        <w:t>详见附件：技术要求响应.docx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详见附件：项目管理机构组成.docx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详见附件：磋商报价表（2包）.docx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详见附件：供应商应提交的资格证明文件（2包）.docx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详见附件：产品技术参数表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