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版本号：SCZE2025-DY-2087-00120251029002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64排CT故障高值配件</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SCZE2025-DY-2087-001</w:t>
      </w:r>
      <w:r>
        <w:br/>
      </w:r>
      <w:r>
        <w:br/>
      </w:r>
      <w:r>
        <w:br/>
      </w:r>
      <w:r>
        <w:br/>
      </w:r>
      <w:r>
        <w:br/>
      </w:r>
    </w:p>
    <w:p>
      <w:pPr>
        <w:pStyle w:val="null3"/>
        <w:jc w:val="center"/>
        <w:outlineLvl w:val="5"/>
      </w:pPr>
      <w:r>
        <w:rPr>
          <w:rFonts w:ascii="仿宋_GB2312" w:hAnsi="仿宋_GB2312" w:cs="仿宋_GB2312" w:eastAsia="仿宋_GB2312"/>
          <w:sz w:val="15"/>
          <w:b/>
        </w:rPr>
        <w:t>合阳县人民医院</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64排CT故障高值配件</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SCZE2025-DY-2087-001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64排CT故障高值配件</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购置64排CT故障高值配件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相关证件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银行账号：103260087790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代理服务费收费标准：代理服务费参照《国家计委关于印发&lt;招标代理服务收费管理暂行办法&gt;的通知》（计价格[2002]1980号）规定标准按标段收取，单标段不足6000元按6000收取。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购置64排CT故障高值配件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64排CT故障高值配件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标的名称：64排CT故障高值配件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 xml:space="preserve">对应于 250 W 的阳极等效输入功率时的阳极标称输入功率  </w:t>
                  </w:r>
                </w:p>
              </w:tc>
              <w:tc>
                <w:tcPr>
                  <w:tcW w:type="dxa" w:w="851"/>
                </w:tcPr>
                <w:p>
                  <w:pPr>
                    <w:pStyle w:val="null3"/>
                  </w:pPr>
                  <w:r>
                    <w:rPr>
                      <w:rFonts w:ascii="仿宋_GB2312" w:hAnsi="仿宋_GB2312" w:cs="仿宋_GB2312" w:eastAsia="仿宋_GB2312"/>
                    </w:rPr>
                    <w:t xml:space="preserve">F1  </w:t>
                  </w:r>
                </w:p>
                <w:p>
                  <w:pPr>
                    <w:pStyle w:val="null3"/>
                  </w:pPr>
                  <w:r>
                    <w:rPr>
                      <w:rFonts w:ascii="仿宋_GB2312" w:hAnsi="仿宋_GB2312" w:cs="仿宋_GB2312" w:eastAsia="仿宋_GB2312"/>
                    </w:rPr>
                    <w:t xml:space="preserve">28 千瓦  </w:t>
                  </w:r>
                </w:p>
              </w:tc>
              <w:tc>
                <w:tcPr>
                  <w:tcW w:type="dxa" w:w="851"/>
                </w:tcPr>
                <w:p>
                  <w:pPr>
                    <w:pStyle w:val="null3"/>
                  </w:pPr>
                  <w:r>
                    <w:rPr>
                      <w:rFonts w:ascii="仿宋_GB2312" w:hAnsi="仿宋_GB2312" w:cs="仿宋_GB2312" w:eastAsia="仿宋_GB2312"/>
                    </w:rPr>
                    <w:t xml:space="preserve">F2  </w:t>
                  </w:r>
                </w:p>
                <w:p>
                  <w:pPr>
                    <w:pStyle w:val="null3"/>
                  </w:pPr>
                  <w:r>
                    <w:rPr>
                      <w:rFonts w:ascii="仿宋_GB2312" w:hAnsi="仿宋_GB2312" w:cs="仿宋_GB2312" w:eastAsia="仿宋_GB2312"/>
                    </w:rPr>
                    <w:t xml:space="preserve">55 千瓦  </w:t>
                  </w:r>
                </w:p>
              </w:tc>
            </w:tr>
            <w:tr>
              <w:tc>
                <w:tcPr>
                  <w:tcW w:type="dxa" w:w="851"/>
                </w:tcPr>
                <w:p>
                  <w:pPr>
                    <w:pStyle w:val="null3"/>
                  </w:pPr>
                  <w:r>
                    <w:rPr>
                      <w:rFonts w:ascii="仿宋_GB2312" w:hAnsi="仿宋_GB2312" w:cs="仿宋_GB2312" w:eastAsia="仿宋_GB2312"/>
                    </w:rPr>
                    <w:t xml:space="preserve">阳极最大热容量                </w:t>
                  </w:r>
                </w:p>
              </w:tc>
              <w:tc>
                <w:tcPr>
                  <w:tcW w:type="dxa" w:w="1702"/>
                  <w:gridSpan w:val="2"/>
                </w:tcPr>
                <w:p>
                  <w:pPr>
                    <w:pStyle w:val="null3"/>
                  </w:pPr>
                  <w:r>
                    <w:rPr>
                      <w:rFonts w:ascii="仿宋_GB2312" w:hAnsi="仿宋_GB2312" w:cs="仿宋_GB2312" w:eastAsia="仿宋_GB2312"/>
                    </w:rPr>
                    <w:t>4,400,000 焦耳 ＝ 6,000,000</w:t>
                  </w:r>
                </w:p>
                <w:p>
                  <w:pPr>
                    <w:pStyle w:val="null3"/>
                  </w:pPr>
                  <w:r>
                    <w:rPr>
                      <w:rFonts w:ascii="仿宋_GB2312" w:hAnsi="仿宋_GB2312" w:cs="仿宋_GB2312" w:eastAsia="仿宋_GB2312"/>
                    </w:rPr>
                    <w:t>HU</w:t>
                  </w:r>
                </w:p>
              </w:tc>
            </w:tr>
            <w:tr>
              <w:tc>
                <w:tcPr>
                  <w:tcW w:type="dxa" w:w="851"/>
                </w:tcPr>
                <w:p>
                  <w:pPr>
                    <w:pStyle w:val="null3"/>
                  </w:pPr>
                  <w:r>
                    <w:rPr>
                      <w:rFonts w:ascii="仿宋_GB2312" w:hAnsi="仿宋_GB2312" w:cs="仿宋_GB2312" w:eastAsia="仿宋_GB2312"/>
                    </w:rPr>
                    <w:t xml:space="preserve">靶材料  </w:t>
                  </w:r>
                </w:p>
              </w:tc>
              <w:tc>
                <w:tcPr>
                  <w:tcW w:type="dxa" w:w="1702"/>
                  <w:gridSpan w:val="2"/>
                </w:tcPr>
                <w:p>
                  <w:pPr>
                    <w:pStyle w:val="null3"/>
                  </w:pPr>
                  <w:r>
                    <w:rPr>
                      <w:rFonts w:ascii="仿宋_GB2312" w:hAnsi="仿宋_GB2312" w:cs="仿宋_GB2312" w:eastAsia="仿宋_GB2312"/>
                    </w:rPr>
                    <w:t xml:space="preserve">铼－钨 </w:t>
                  </w:r>
                </w:p>
              </w:tc>
            </w:tr>
            <w:tr>
              <w:tc>
                <w:tcPr>
                  <w:tcW w:type="dxa" w:w="851"/>
                </w:tcPr>
                <w:p>
                  <w:pPr>
                    <w:pStyle w:val="null3"/>
                  </w:pPr>
                  <w:r>
                    <w:rPr>
                      <w:rFonts w:ascii="仿宋_GB2312" w:hAnsi="仿宋_GB2312" w:cs="仿宋_GB2312" w:eastAsia="仿宋_GB2312"/>
                    </w:rPr>
                    <w:t xml:space="preserve">标称 X 射线管电压  </w:t>
                  </w:r>
                </w:p>
              </w:tc>
              <w:tc>
                <w:tcPr>
                  <w:tcW w:type="dxa" w:w="1702"/>
                  <w:gridSpan w:val="2"/>
                </w:tcPr>
                <w:p>
                  <w:pPr>
                    <w:pStyle w:val="null3"/>
                  </w:pPr>
                  <w:r>
                    <w:rPr>
                      <w:rFonts w:ascii="仿宋_GB2312" w:hAnsi="仿宋_GB2312" w:cs="仿宋_GB2312" w:eastAsia="仿宋_GB2312"/>
                    </w:rPr>
                    <w:t xml:space="preserve">140 千伏  </w:t>
                  </w:r>
                </w:p>
              </w:tc>
            </w:tr>
            <w:tr>
              <w:tc>
                <w:tcPr>
                  <w:tcW w:type="dxa" w:w="851"/>
                </w:tcPr>
                <w:p>
                  <w:pPr>
                    <w:pStyle w:val="null3"/>
                  </w:pPr>
                  <w:r>
                    <w:rPr>
                      <w:rFonts w:ascii="仿宋_GB2312" w:hAnsi="仿宋_GB2312" w:cs="仿宋_GB2312" w:eastAsia="仿宋_GB2312"/>
                    </w:rPr>
                    <w:t xml:space="preserve">阳极的最大散热功率  </w:t>
                  </w:r>
                </w:p>
              </w:tc>
              <w:tc>
                <w:tcPr>
                  <w:tcW w:type="dxa" w:w="1702"/>
                  <w:gridSpan w:val="2"/>
                </w:tcPr>
                <w:p>
                  <w:pPr>
                    <w:pStyle w:val="null3"/>
                  </w:pPr>
                  <w:r>
                    <w:rPr>
                      <w:rFonts w:ascii="仿宋_GB2312" w:hAnsi="仿宋_GB2312" w:cs="仿宋_GB2312" w:eastAsia="仿宋_GB2312"/>
                    </w:rPr>
                    <w:t xml:space="preserve">12,000 瓦  </w:t>
                  </w:r>
                </w:p>
              </w:tc>
            </w:tr>
            <w:tr>
              <w:tc>
                <w:tcPr>
                  <w:tcW w:type="dxa" w:w="851"/>
                </w:tcPr>
                <w:p>
                  <w:pPr>
                    <w:pStyle w:val="null3"/>
                  </w:pPr>
                  <w:r>
                    <w:rPr>
                      <w:rFonts w:ascii="仿宋_GB2312" w:hAnsi="仿宋_GB2312" w:cs="仿宋_GB2312" w:eastAsia="仿宋_GB2312"/>
                    </w:rPr>
                    <w:t xml:space="preserve">最大阳极频率  </w:t>
                  </w:r>
                </w:p>
              </w:tc>
              <w:tc>
                <w:tcPr>
                  <w:tcW w:type="dxa" w:w="1702"/>
                  <w:gridSpan w:val="2"/>
                </w:tcPr>
                <w:p>
                  <w:pPr>
                    <w:pStyle w:val="null3"/>
                  </w:pPr>
                  <w:r>
                    <w:rPr>
                      <w:rFonts w:ascii="仿宋_GB2312" w:hAnsi="仿宋_GB2312" w:cs="仿宋_GB2312" w:eastAsia="仿宋_GB2312"/>
                    </w:rPr>
                    <w:t xml:space="preserve">160 赫兹  </w:t>
                  </w:r>
                </w:p>
              </w:tc>
            </w:tr>
            <w:tr>
              <w:tc>
                <w:tcPr>
                  <w:tcW w:type="dxa" w:w="851"/>
                </w:tcPr>
                <w:p>
                  <w:pPr>
                    <w:pStyle w:val="null3"/>
                  </w:pPr>
                  <w:r>
                    <w:rPr>
                      <w:rFonts w:ascii="仿宋_GB2312" w:hAnsi="仿宋_GB2312" w:cs="仿宋_GB2312" w:eastAsia="仿宋_GB2312"/>
                    </w:rPr>
                    <w:t xml:space="preserve">最大阴极灯丝加热电流   </w:t>
                  </w:r>
                </w:p>
              </w:tc>
              <w:tc>
                <w:tcPr>
                  <w:tcW w:type="dxa" w:w="851"/>
                </w:tcPr>
                <w:p>
                  <w:pPr>
                    <w:pStyle w:val="null3"/>
                  </w:pPr>
                  <w:r>
                    <w:rPr>
                      <w:rFonts w:ascii="仿宋_GB2312" w:hAnsi="仿宋_GB2312" w:cs="仿宋_GB2312" w:eastAsia="仿宋_GB2312"/>
                    </w:rPr>
                    <w:t xml:space="preserve">≈ 7.5 A  </w:t>
                  </w:r>
                </w:p>
              </w:tc>
              <w:tc>
                <w:tcPr>
                  <w:tcW w:type="dxa" w:w="851"/>
                </w:tcPr>
                <w:p>
                  <w:pPr>
                    <w:pStyle w:val="null3"/>
                  </w:pPr>
                  <w:r>
                    <w:rPr>
                      <w:rFonts w:ascii="仿宋_GB2312" w:hAnsi="仿宋_GB2312" w:cs="仿宋_GB2312" w:eastAsia="仿宋_GB2312"/>
                    </w:rPr>
                    <w:t xml:space="preserve">≈ 7.5 A  </w:t>
                  </w:r>
                </w:p>
              </w:tc>
            </w:tr>
            <w:tr>
              <w:tc>
                <w:tcPr>
                  <w:tcW w:type="dxa" w:w="851"/>
                </w:tcPr>
                <w:p>
                  <w:pPr>
                    <w:pStyle w:val="null3"/>
                  </w:pPr>
                  <w:r>
                    <w:rPr>
                      <w:rFonts w:ascii="仿宋_GB2312" w:hAnsi="仿宋_GB2312" w:cs="仿宋_GB2312" w:eastAsia="仿宋_GB2312"/>
                    </w:rPr>
                    <w:t xml:space="preserve">最大连续热耗散  </w:t>
                  </w:r>
                </w:p>
              </w:tc>
              <w:tc>
                <w:tcPr>
                  <w:tcW w:type="dxa" w:w="1702"/>
                  <w:gridSpan w:val="2"/>
                </w:tcPr>
                <w:p>
                  <w:pPr>
                    <w:pStyle w:val="null3"/>
                  </w:pPr>
                  <w:r>
                    <w:rPr>
                      <w:rFonts w:ascii="仿宋_GB2312" w:hAnsi="仿宋_GB2312" w:cs="仿宋_GB2312" w:eastAsia="仿宋_GB2312"/>
                    </w:rPr>
                    <w:t xml:space="preserve">4．1 千瓦  </w:t>
                  </w:r>
                </w:p>
              </w:tc>
            </w:tr>
            <w:tr>
              <w:tc>
                <w:tcPr>
                  <w:tcW w:type="dxa" w:w="851"/>
                </w:tcPr>
                <w:p>
                  <w:pPr>
                    <w:pStyle w:val="null3"/>
                  </w:pPr>
                  <w:r>
                    <w:rPr>
                      <w:rFonts w:ascii="仿宋_GB2312" w:hAnsi="仿宋_GB2312" w:cs="仿宋_GB2312" w:eastAsia="仿宋_GB2312"/>
                    </w:rPr>
                    <w:t xml:space="preserve">靶角（与参考轴有关）  </w:t>
                  </w:r>
                </w:p>
              </w:tc>
              <w:tc>
                <w:tcPr>
                  <w:tcW w:type="dxa" w:w="1702"/>
                  <w:gridSpan w:val="2"/>
                </w:tcPr>
                <w:p>
                  <w:pPr>
                    <w:pStyle w:val="null3"/>
                  </w:pPr>
                  <w:r>
                    <w:rPr>
                      <w:rFonts w:ascii="仿宋_GB2312" w:hAnsi="仿宋_GB2312" w:cs="仿宋_GB2312" w:eastAsia="仿宋_GB2312"/>
                    </w:rPr>
                    <w:t xml:space="preserve">7°  </w:t>
                  </w:r>
                </w:p>
              </w:tc>
            </w:tr>
            <w:tr>
              <w:tc>
                <w:tcPr>
                  <w:tcW w:type="dxa" w:w="851"/>
                </w:tcPr>
                <w:p>
                  <w:pPr>
                    <w:pStyle w:val="null3"/>
                  </w:pPr>
                  <w:r>
                    <w:rPr>
                      <w:rFonts w:ascii="仿宋_GB2312" w:hAnsi="仿宋_GB2312" w:cs="仿宋_GB2312" w:eastAsia="仿宋_GB2312"/>
                    </w:rPr>
                    <w:t xml:space="preserve">焦点  </w:t>
                  </w:r>
                </w:p>
              </w:tc>
              <w:tc>
                <w:tcPr>
                  <w:tcW w:type="dxa" w:w="851"/>
                </w:tcPr>
                <w:p>
                  <w:pPr>
                    <w:pStyle w:val="null3"/>
                  </w:pPr>
                  <w:r>
                    <w:rPr>
                      <w:rFonts w:ascii="仿宋_GB2312" w:hAnsi="仿宋_GB2312" w:cs="仿宋_GB2312" w:eastAsia="仿宋_GB2312"/>
                    </w:rPr>
                    <w:t xml:space="preserve">F 1  </w:t>
                  </w:r>
                </w:p>
              </w:tc>
              <w:tc>
                <w:tcPr>
                  <w:tcW w:type="dxa" w:w="851"/>
                </w:tcPr>
                <w:p>
                  <w:pPr>
                    <w:pStyle w:val="null3"/>
                  </w:pPr>
                  <w:r>
                    <w:rPr>
                      <w:rFonts w:ascii="仿宋_GB2312" w:hAnsi="仿宋_GB2312" w:cs="仿宋_GB2312" w:eastAsia="仿宋_GB2312"/>
                    </w:rPr>
                    <w:t xml:space="preserve">F 2  </w:t>
                  </w:r>
                </w:p>
              </w:tc>
            </w:tr>
            <w:tr>
              <w:tc>
                <w:tcPr>
                  <w:tcW w:type="dxa" w:w="851"/>
                </w:tcPr>
                <w:p>
                  <w:pPr>
                    <w:pStyle w:val="null3"/>
                  </w:pPr>
                  <w:r>
                    <w:rPr>
                      <w:rFonts w:ascii="仿宋_GB2312" w:hAnsi="仿宋_GB2312" w:cs="仿宋_GB2312" w:eastAsia="仿宋_GB2312"/>
                    </w:rPr>
                    <w:t xml:space="preserve">焦点标称值（与参考轴有关）  </w:t>
                  </w:r>
                </w:p>
              </w:tc>
              <w:tc>
                <w:tcPr>
                  <w:tcW w:type="dxa" w:w="851"/>
                </w:tcPr>
                <w:p>
                  <w:pPr>
                    <w:pStyle w:val="null3"/>
                  </w:pPr>
                  <w:r>
                    <w:rPr>
                      <w:rFonts w:ascii="仿宋_GB2312" w:hAnsi="仿宋_GB2312" w:cs="仿宋_GB2312" w:eastAsia="仿宋_GB2312"/>
                    </w:rPr>
                    <w:t>0.8×0.5</w:t>
                  </w:r>
                </w:p>
              </w:tc>
              <w:tc>
                <w:tcPr>
                  <w:tcW w:type="dxa" w:w="851"/>
                </w:tcPr>
                <w:p>
                  <w:pPr>
                    <w:pStyle w:val="null3"/>
                  </w:pPr>
                  <w:r>
                    <w:rPr>
                      <w:rFonts w:ascii="仿宋_GB2312" w:hAnsi="仿宋_GB2312" w:cs="仿宋_GB2312" w:eastAsia="仿宋_GB2312"/>
                    </w:rPr>
                    <w:t>0.8×0.7</w:t>
                  </w:r>
                </w:p>
              </w:tc>
            </w:tr>
            <w:tr>
              <w:tc>
                <w:tcPr>
                  <w:tcW w:type="dxa" w:w="851"/>
                </w:tcPr>
                <w:p>
                  <w:pPr>
                    <w:pStyle w:val="null3"/>
                  </w:pPr>
                  <w:r>
                    <w:rPr>
                      <w:rFonts w:ascii="仿宋_GB2312" w:hAnsi="仿宋_GB2312" w:cs="仿宋_GB2312" w:eastAsia="仿宋_GB2312"/>
                    </w:rPr>
                    <w:t>额定CT扫描功率指数</w:t>
                  </w:r>
                </w:p>
              </w:tc>
              <w:tc>
                <w:tcPr>
                  <w:tcW w:type="dxa" w:w="851"/>
                </w:tcPr>
                <w:p>
                  <w:pPr>
                    <w:pStyle w:val="null3"/>
                  </w:pPr>
                  <w:r>
                    <w:rPr>
                      <w:rFonts w:ascii="仿宋_GB2312" w:hAnsi="仿宋_GB2312" w:cs="仿宋_GB2312" w:eastAsia="仿宋_GB2312"/>
                    </w:rPr>
                    <w:t>26KW</w:t>
                  </w:r>
                </w:p>
              </w:tc>
              <w:tc>
                <w:tcPr>
                  <w:tcW w:type="dxa" w:w="851"/>
                </w:tcPr>
                <w:p>
                  <w:pPr>
                    <w:pStyle w:val="null3"/>
                  </w:pPr>
                  <w:r>
                    <w:rPr>
                      <w:rFonts w:ascii="仿宋_GB2312" w:hAnsi="仿宋_GB2312" w:cs="仿宋_GB2312" w:eastAsia="仿宋_GB2312"/>
                    </w:rPr>
                    <w:t>39KW</w:t>
                  </w:r>
                </w:p>
              </w:tc>
            </w:tr>
            <w:tr>
              <w:tc>
                <w:tcPr>
                  <w:tcW w:type="dxa" w:w="851"/>
                </w:tcPr>
                <w:p>
                  <w:pPr>
                    <w:pStyle w:val="null3"/>
                  </w:pPr>
                  <w:r>
                    <w:rPr>
                      <w:rFonts w:ascii="仿宋_GB2312" w:hAnsi="仿宋_GB2312" w:cs="仿宋_GB2312" w:eastAsia="仿宋_GB2312"/>
                    </w:rPr>
                    <w:t xml:space="preserve">X 射线管组件的固有过滤量                </w:t>
                  </w:r>
                </w:p>
              </w:tc>
              <w:tc>
                <w:tcPr>
                  <w:tcW w:type="dxa" w:w="1702"/>
                  <w:gridSpan w:val="2"/>
                </w:tcPr>
                <w:p>
                  <w:pPr>
                    <w:pStyle w:val="null3"/>
                  </w:pPr>
                  <w:r>
                    <w:rPr>
                      <w:rFonts w:ascii="仿宋_GB2312" w:hAnsi="仿宋_GB2312" w:cs="仿宋_GB2312" w:eastAsia="仿宋_GB2312"/>
                    </w:rPr>
                    <w:t xml:space="preserve">5.5 毫米铝/140 千伏  </w:t>
                  </w:r>
                </w:p>
              </w:tc>
            </w:tr>
            <w:tr>
              <w:tc>
                <w:tcPr>
                  <w:tcW w:type="dxa" w:w="851"/>
                </w:tcPr>
                <w:p>
                  <w:pPr>
                    <w:pStyle w:val="null3"/>
                  </w:pPr>
                  <w:r>
                    <w:rPr>
                      <w:rFonts w:ascii="仿宋_GB2312" w:hAnsi="仿宋_GB2312" w:cs="仿宋_GB2312" w:eastAsia="仿宋_GB2312"/>
                    </w:rPr>
                    <w:t xml:space="preserve">辐射泄漏在 1 米距离时为 140 千伏 / 3.5 千瓦  </w:t>
                  </w:r>
                </w:p>
              </w:tc>
              <w:tc>
                <w:tcPr>
                  <w:tcW w:type="dxa" w:w="1702"/>
                  <w:gridSpan w:val="2"/>
                </w:tcPr>
                <w:p>
                  <w:pPr>
                    <w:pStyle w:val="null3"/>
                  </w:pPr>
                  <w:r>
                    <w:rPr>
                      <w:rFonts w:ascii="仿宋_GB2312" w:hAnsi="仿宋_GB2312" w:cs="仿宋_GB2312" w:eastAsia="仿宋_GB2312"/>
                    </w:rPr>
                    <w:t xml:space="preserve">＜ 0.8 毫戈瑞/小时  </w:t>
                  </w:r>
                </w:p>
              </w:tc>
            </w:tr>
            <w:tr>
              <w:tc>
                <w:tcPr>
                  <w:tcW w:type="dxa" w:w="851"/>
                </w:tcPr>
                <w:p>
                  <w:pPr>
                    <w:pStyle w:val="null3"/>
                  </w:pPr>
                  <w:r>
                    <w:rPr>
                      <w:rFonts w:ascii="仿宋_GB2312" w:hAnsi="仿宋_GB2312" w:cs="仿宋_GB2312" w:eastAsia="仿宋_GB2312"/>
                    </w:rPr>
                    <w:t xml:space="preserve">保护等级  </w:t>
                  </w:r>
                </w:p>
              </w:tc>
              <w:tc>
                <w:tcPr>
                  <w:tcW w:type="dxa" w:w="1702"/>
                  <w:gridSpan w:val="2"/>
                </w:tcPr>
                <w:p>
                  <w:pPr>
                    <w:pStyle w:val="null3"/>
                  </w:pPr>
                  <w:r>
                    <w:rPr>
                      <w:rFonts w:ascii="仿宋_GB2312" w:hAnsi="仿宋_GB2312" w:cs="仿宋_GB2312" w:eastAsia="仿宋_GB2312"/>
                    </w:rPr>
                    <w:t xml:space="preserve"> I 类 B 型  </w:t>
                  </w:r>
                </w:p>
              </w:tc>
            </w:tr>
            <w:tr>
              <w:tc>
                <w:tcPr>
                  <w:tcW w:type="dxa" w:w="851"/>
                </w:tcPr>
                <w:p>
                  <w:pPr>
                    <w:pStyle w:val="null3"/>
                  </w:pPr>
                  <w:r>
                    <w:rPr>
                      <w:rFonts w:ascii="仿宋_GB2312" w:hAnsi="仿宋_GB2312" w:cs="仿宋_GB2312" w:eastAsia="仿宋_GB2312"/>
                    </w:rPr>
                    <w:t xml:space="preserve">重量（不包括附件）  </w:t>
                  </w:r>
                </w:p>
              </w:tc>
              <w:tc>
                <w:tcPr>
                  <w:tcW w:type="dxa" w:w="1702"/>
                  <w:gridSpan w:val="2"/>
                </w:tcPr>
                <w:p>
                  <w:pPr>
                    <w:pStyle w:val="null3"/>
                  </w:pPr>
                  <w:r>
                    <w:rPr>
                      <w:rFonts w:ascii="仿宋_GB2312" w:hAnsi="仿宋_GB2312" w:cs="仿宋_GB2312" w:eastAsia="仿宋_GB2312"/>
                    </w:rPr>
                    <w:t xml:space="preserve">48.2 公斤± 0.1 公斤  </w:t>
                  </w:r>
                </w:p>
              </w:tc>
            </w:tr>
            <w:tr>
              <w:tc>
                <w:tcPr>
                  <w:tcW w:type="dxa" w:w="851"/>
                </w:tcPr>
                <w:p>
                  <w:pPr>
                    <w:pStyle w:val="null3"/>
                  </w:pPr>
                  <w:r>
                    <w:rPr>
                      <w:rFonts w:ascii="仿宋_GB2312" w:hAnsi="仿宋_GB2312" w:cs="仿宋_GB2312" w:eastAsia="仿宋_GB2312"/>
                    </w:rPr>
                    <w:t>高压连接       + /-</w:t>
                  </w:r>
                </w:p>
              </w:tc>
              <w:tc>
                <w:tcPr>
                  <w:tcW w:type="dxa" w:w="1702"/>
                  <w:gridSpan w:val="2"/>
                </w:tcPr>
                <w:p>
                  <w:pPr>
                    <w:pStyle w:val="null3"/>
                  </w:pPr>
                  <w:r>
                    <w:rPr>
                      <w:rFonts w:ascii="仿宋_GB2312" w:hAnsi="仿宋_GB2312" w:cs="仿宋_GB2312" w:eastAsia="仿宋_GB2312"/>
                    </w:rPr>
                    <w:t xml:space="preserve">三芯电缆连接 /三芯电缆连接 </w:t>
                  </w:r>
                </w:p>
              </w:tc>
            </w:tr>
            <w:tr>
              <w:tc>
                <w:tcPr>
                  <w:tcW w:type="dxa" w:w="851"/>
                </w:tcPr>
                <w:p>
                  <w:pPr>
                    <w:pStyle w:val="null3"/>
                  </w:pPr>
                  <w:r>
                    <w:rPr>
                      <w:rFonts w:ascii="仿宋_GB2312" w:hAnsi="仿宋_GB2312" w:cs="仿宋_GB2312" w:eastAsia="仿宋_GB2312"/>
                    </w:rPr>
                    <w:t xml:space="preserve">旋转阳极发动机  </w:t>
                  </w:r>
                </w:p>
              </w:tc>
              <w:tc>
                <w:tcPr>
                  <w:tcW w:type="dxa" w:w="1702"/>
                  <w:gridSpan w:val="2"/>
                </w:tcPr>
                <w:p>
                  <w:pPr>
                    <w:pStyle w:val="null3"/>
                  </w:pPr>
                  <w:r>
                    <w:rPr>
                      <w:rFonts w:ascii="仿宋_GB2312" w:hAnsi="仿宋_GB2312" w:cs="仿宋_GB2312" w:eastAsia="仿宋_GB2312"/>
                    </w:rPr>
                    <w:t>3 相定子，相位电压Vpp 700 V</w:t>
                  </w:r>
                </w:p>
                <w:p>
                  <w:pPr>
                    <w:pStyle w:val="null3"/>
                  </w:pPr>
                  <w:r>
                    <w:rPr>
                      <w:rFonts w:ascii="仿宋_GB2312" w:hAnsi="仿宋_GB2312" w:cs="仿宋_GB2312" w:eastAsia="仿宋_GB2312"/>
                    </w:rPr>
                    <w:t xml:space="preserve">±10%；相位电流 ≤ 10 Aeff </w:t>
                  </w:r>
                </w:p>
              </w:tc>
            </w:tr>
            <w:tr>
              <w:tc>
                <w:tcPr>
                  <w:tcW w:type="dxa" w:w="851"/>
                </w:tcPr>
                <w:p>
                  <w:pPr>
                    <w:pStyle w:val="null3"/>
                  </w:pPr>
                  <w:r>
                    <w:rPr>
                      <w:rFonts w:ascii="仿宋_GB2312" w:hAnsi="仿宋_GB2312" w:cs="仿宋_GB2312" w:eastAsia="仿宋_GB2312"/>
                    </w:rPr>
                    <w:t xml:space="preserve">操作过程中所允许的环境温度   </w:t>
                  </w:r>
                </w:p>
              </w:tc>
              <w:tc>
                <w:tcPr>
                  <w:tcW w:type="dxa" w:w="1702"/>
                  <w:gridSpan w:val="2"/>
                </w:tcPr>
                <w:p>
                  <w:pPr>
                    <w:pStyle w:val="null3"/>
                  </w:pPr>
                  <w:r>
                    <w:rPr>
                      <w:rFonts w:ascii="仿宋_GB2312" w:hAnsi="仿宋_GB2312" w:cs="仿宋_GB2312" w:eastAsia="仿宋_GB2312"/>
                    </w:rPr>
                    <w:t xml:space="preserve">+18℃ ....+40℃  </w:t>
                  </w:r>
                </w:p>
              </w:tc>
            </w:tr>
            <w:tr>
              <w:tc>
                <w:tcPr>
                  <w:tcW w:type="dxa" w:w="851"/>
                </w:tcPr>
                <w:p>
                  <w:pPr>
                    <w:pStyle w:val="null3"/>
                  </w:pPr>
                  <w:r>
                    <w:rPr>
                      <w:rFonts w:ascii="仿宋_GB2312" w:hAnsi="仿宋_GB2312" w:cs="仿宋_GB2312" w:eastAsia="仿宋_GB2312"/>
                    </w:rPr>
                    <w:t xml:space="preserve">操作过程中所允许的空气的相对湿度   </w:t>
                  </w:r>
                </w:p>
              </w:tc>
              <w:tc>
                <w:tcPr>
                  <w:tcW w:type="dxa" w:w="1702"/>
                  <w:gridSpan w:val="2"/>
                </w:tcPr>
                <w:p>
                  <w:pPr>
                    <w:pStyle w:val="null3"/>
                  </w:pPr>
                  <w:r>
                    <w:rPr>
                      <w:rFonts w:ascii="仿宋_GB2312" w:hAnsi="仿宋_GB2312" w:cs="仿宋_GB2312" w:eastAsia="仿宋_GB2312"/>
                    </w:rPr>
                    <w:t xml:space="preserve">20% .... 85%  </w:t>
                  </w:r>
                </w:p>
              </w:tc>
            </w:tr>
            <w:tr>
              <w:tc>
                <w:tcPr>
                  <w:tcW w:type="dxa" w:w="851"/>
                </w:tcPr>
                <w:p>
                  <w:pPr>
                    <w:pStyle w:val="null3"/>
                  </w:pPr>
                  <w:r>
                    <w:rPr>
                      <w:rFonts w:ascii="仿宋_GB2312" w:hAnsi="仿宋_GB2312" w:cs="仿宋_GB2312" w:eastAsia="仿宋_GB2312"/>
                    </w:rPr>
                    <w:t xml:space="preserve">操作过程中所允许的大气压   </w:t>
                  </w:r>
                </w:p>
              </w:tc>
              <w:tc>
                <w:tcPr>
                  <w:tcW w:type="dxa" w:w="1702"/>
                  <w:gridSpan w:val="2"/>
                </w:tcPr>
                <w:p>
                  <w:pPr>
                    <w:pStyle w:val="null3"/>
                  </w:pPr>
                  <w:r>
                    <w:rPr>
                      <w:rFonts w:ascii="仿宋_GB2312" w:hAnsi="仿宋_GB2312" w:cs="仿宋_GB2312" w:eastAsia="仿宋_GB2312"/>
                    </w:rPr>
                    <w:t xml:space="preserve">700 百帕 ....1060 百帕  </w:t>
                  </w:r>
                </w:p>
              </w:tc>
            </w:tr>
            <w:tr>
              <w:tc>
                <w:tcPr>
                  <w:tcW w:type="dxa" w:w="851"/>
                </w:tcPr>
                <w:p>
                  <w:pPr>
                    <w:pStyle w:val="null3"/>
                  </w:pPr>
                  <w:r>
                    <w:rPr>
                      <w:rFonts w:ascii="仿宋_GB2312" w:hAnsi="仿宋_GB2312" w:cs="仿宋_GB2312" w:eastAsia="仿宋_GB2312"/>
                    </w:rPr>
                    <w:t xml:space="preserve">冷却流量  </w:t>
                  </w:r>
                </w:p>
              </w:tc>
              <w:tc>
                <w:tcPr>
                  <w:tcW w:type="dxa" w:w="1702"/>
                  <w:gridSpan w:val="2"/>
                </w:tcPr>
                <w:p>
                  <w:pPr>
                    <w:pStyle w:val="null3"/>
                  </w:pPr>
                  <w:r>
                    <w:rPr>
                      <w:rFonts w:ascii="仿宋_GB2312" w:hAnsi="仿宋_GB2312" w:cs="仿宋_GB2312" w:eastAsia="仿宋_GB2312"/>
                    </w:rPr>
                    <w:t xml:space="preserve">&gt;  7 升/分钟  </w:t>
                  </w:r>
                </w:p>
              </w:tc>
            </w:tr>
            <w:tr>
              <w:tc>
                <w:tcPr>
                  <w:tcW w:type="dxa" w:w="851"/>
                </w:tcPr>
                <w:p>
                  <w:pPr>
                    <w:pStyle w:val="null3"/>
                  </w:pPr>
                  <w:r>
                    <w:rPr>
                      <w:rFonts w:ascii="仿宋_GB2312" w:hAnsi="仿宋_GB2312" w:cs="仿宋_GB2312" w:eastAsia="仿宋_GB2312"/>
                    </w:rPr>
                    <w:t xml:space="preserve">冷却绝缘油的体积（包括冷却系统内）  </w:t>
                  </w:r>
                </w:p>
              </w:tc>
              <w:tc>
                <w:tcPr>
                  <w:tcW w:type="dxa" w:w="1702"/>
                  <w:gridSpan w:val="2"/>
                </w:tcPr>
                <w:p>
                  <w:pPr>
                    <w:pStyle w:val="null3"/>
                  </w:pPr>
                  <w:r>
                    <w:rPr>
                      <w:rFonts w:ascii="仿宋_GB2312" w:hAnsi="仿宋_GB2312" w:cs="仿宋_GB2312" w:eastAsia="仿宋_GB2312"/>
                    </w:rPr>
                    <w:t xml:space="preserve">约 12.5 升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安装调试完成后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供应商需提供原场球管合格证。厂家合格证明作为医院对此备件合格的验收标准。并于院内存档备案。</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自安装日期起最长12个月且不超过500000扫描秒。</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相关证件要求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