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版本号：ZCZB-2025-014120250918001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ZCZB-2025-0141</w:t>
      </w:r>
      <w:r>
        <w:br/>
      </w:r>
      <w:r>
        <w:br/>
      </w:r>
      <w:r>
        <w:br/>
      </w:r>
    </w:p>
    <w:p>
      <w:pPr>
        <w:pStyle w:val="null3"/>
        <w:jc w:val="center"/>
        <w:outlineLvl w:val="2"/>
      </w:pPr>
      <w:r>
        <w:rPr>
          <w:rFonts w:ascii="仿宋_GB2312" w:hAnsi="仿宋_GB2312" w:cs="仿宋_GB2312" w:eastAsia="仿宋_GB2312"/>
          <w:sz w:val="28"/>
          <w:b/>
        </w:rPr>
        <w:t>合阳县有莘中学</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合阳县有莘中学</w:t>
      </w:r>
      <w:r>
        <w:rPr>
          <w:rFonts w:ascii="仿宋_GB2312" w:hAnsi="仿宋_GB2312" w:cs="仿宋_GB2312" w:eastAsia="仿宋_GB2312"/>
        </w:rPr>
        <w:t>委托，拟对</w:t>
      </w:r>
      <w:r>
        <w:rPr>
          <w:rFonts w:ascii="仿宋_GB2312" w:hAnsi="仿宋_GB2312" w:cs="仿宋_GB2312" w:eastAsia="仿宋_GB2312"/>
        </w:rPr>
        <w:t>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ZCZB-2025-0141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合阳县有莘中学设施设备采购项目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采购包1（合阳县有莘中学设施设备采购项目）：属于预留采购份额面向中小企业采购，预留比例为40%。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4、履约能力：具备履行合同所必需的设备和专业技术能力的证明材料；</w:t>
      </w:r>
    </w:p>
    <w:p>
      <w:pPr>
        <w:pStyle w:val="null3"/>
      </w:pPr>
      <w:r>
        <w:rPr>
          <w:rFonts w:ascii="仿宋_GB2312" w:hAnsi="仿宋_GB2312" w:cs="仿宋_GB2312" w:eastAsia="仿宋_GB2312"/>
        </w:rPr>
        <w:t>5、3年内无重大违法记录：参加政府采购活动前3年内在经营活动中没有重大违法记录的书面声明；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7、授权书：投标人代表应提供法定代表人（单位负责人）授权书（附法定代表人（单位负责人）及被授权人身份证复印件），法定代表人（单位负责人）直接参加只须提供法定代表人（单位负责人）身份证明；</w:t>
      </w:r>
    </w:p>
    <w:p>
      <w:pPr>
        <w:pStyle w:val="null3"/>
      </w:pPr>
      <w:r>
        <w:rPr>
          <w:rFonts w:ascii="仿宋_GB2312" w:hAnsi="仿宋_GB2312" w:cs="仿宋_GB2312" w:eastAsia="仿宋_GB2312"/>
        </w:rPr>
        <w:t>8、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分包意向协议及中小企业声明函：本项目为部分面向中小企业采购，预留形式为合同分包（要求供应商提供分包意向协议且协议中中小企业金额占本项目采购合同金额的40%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10、其它：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合阳县有莘中学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合阳县九龙大道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党永辉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17391061559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15191081735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采购包1：1,074,400.00元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开户名称：陕西正城项目管理有限公司</w:t>
            </w:r>
          </w:p>
          <w:p>
            <w:pPr>
              <w:pStyle w:val="null3"/>
            </w:pPr>
            <w:r>
              <w:rPr>
                <w:rFonts w:ascii="仿宋_GB2312" w:hAnsi="仿宋_GB2312" w:cs="仿宋_GB2312" w:eastAsia="仿宋_GB2312"/>
              </w:rPr>
              <w:t>开户银行：交通银行西安大寨路支行</w:t>
            </w:r>
          </w:p>
          <w:p>
            <w:pPr>
              <w:pStyle w:val="null3"/>
            </w:pPr>
            <w:r>
              <w:rPr>
                <w:rFonts w:ascii="仿宋_GB2312" w:hAnsi="仿宋_GB2312" w:cs="仿宋_GB2312" w:eastAsia="仿宋_GB2312"/>
              </w:rPr>
              <w:t>银行账号：611301079013001226728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参照国家发展计划委员会计价格[2002]1980号文件、国家发展改革委员会办公厅颁发的《关于招标代理服务收费有关问题的通知》（发改办价格[2003]857号）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合阳县有莘中学</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合阳县有莘中学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合阳县有莘中学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采购包1：分包比例40%，分包履行的内容：乙方提供的货物由中小企业制造的工作内容；资质要求详见第4章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联系电话：15191081735</w:t>
      </w:r>
    </w:p>
    <w:p>
      <w:pPr>
        <w:pStyle w:val="null3"/>
      </w:pPr>
      <w:r>
        <w:rPr>
          <w:rFonts w:ascii="仿宋_GB2312" w:hAnsi="仿宋_GB2312" w:cs="仿宋_GB2312" w:eastAsia="仿宋_GB2312"/>
        </w:rPr>
        <w:t>地址：陕西省西安市莲湖区太和时代广场C座206室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合阳县有莘中学设施设备采购项目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1,074,400.00</w:t>
      </w:r>
    </w:p>
    <w:p>
      <w:pPr>
        <w:pStyle w:val="null3"/>
      </w:pPr>
      <w:r>
        <w:rPr>
          <w:rFonts w:ascii="仿宋_GB2312" w:hAnsi="仿宋_GB2312" w:cs="仿宋_GB2312" w:eastAsia="仿宋_GB2312"/>
        </w:rPr>
        <w:t>采购包最高限价（元）: 1,074,400.00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合阳县有莘中学设施设备购置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1,074,400.00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标的名称：合阳县有莘中学设施设备购置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p>
                <w:p>
                  <w:pPr>
                    <w:pStyle w:val="null3"/>
                    <w:jc w:val="center"/>
                  </w:pPr>
                  <w:r>
                    <w:rPr>
                      <w:rFonts w:ascii="仿宋_GB2312" w:hAnsi="仿宋_GB2312" w:cs="仿宋_GB2312" w:eastAsia="仿宋_GB2312"/>
                      <w:sz w:val="24"/>
                    </w:rPr>
                    <w:t>LED教室灯（吊装式）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1、额定功率36±1W；功率因数≥0.95，灯具光通量≥3000 lm,灯具效能≥90 lm/w.</w:t>
                  </w:r>
                  <w:r>
                    <w:br/>
                  </w:r>
                  <w:r>
                    <w:rPr>
                      <w:rFonts w:ascii="仿宋_GB2312" w:hAnsi="仿宋_GB2312" w:cs="仿宋_GB2312" w:eastAsia="仿宋_GB2312"/>
                      <w:sz w:val="24"/>
                    </w:rPr>
                    <w:t>2、额定色温3300K--5300K，显色指数（Ra）≥90，R9≥70，色品容差SDCM≤5。</w:t>
                  </w:r>
                  <w:r>
                    <w:br/>
                  </w:r>
                  <w:r>
                    <w:rPr>
                      <w:rFonts w:ascii="仿宋_GB2312" w:hAnsi="仿宋_GB2312" w:cs="仿宋_GB2312" w:eastAsia="仿宋_GB2312"/>
                      <w:sz w:val="24"/>
                    </w:rPr>
                    <w:t>3、外形尺寸：长1200±20mm，宽300±5mm。材质与工艺：散热背板为金属材质，产品外形平整，无凹陷毛刺，焊缝无透光，表面光洁无流挂。</w:t>
                  </w:r>
                  <w:r>
                    <w:br/>
                  </w:r>
                  <w:r>
                    <w:rPr>
                      <w:rFonts w:ascii="仿宋_GB2312" w:hAnsi="仿宋_GB2312" w:cs="仿宋_GB2312" w:eastAsia="仿宋_GB2312"/>
                      <w:sz w:val="24"/>
                    </w:rPr>
                    <w:t>4、蓝光危害：视网膜蓝光危害类别为RG0（或无危险类）。</w:t>
                  </w:r>
                  <w:r>
                    <w:br/>
                  </w:r>
                  <w:r>
                    <w:rPr>
                      <w:rFonts w:ascii="仿宋_GB2312" w:hAnsi="仿宋_GB2312" w:cs="仿宋_GB2312" w:eastAsia="仿宋_GB2312"/>
                      <w:sz w:val="24"/>
                    </w:rPr>
                    <w:t>5、频闪：波动深度应符合无显著影响水平；</w:t>
                  </w:r>
                  <w:r>
                    <w:br/>
                  </w:r>
                  <w:r>
                    <w:rPr>
                      <w:rFonts w:ascii="仿宋_GB2312" w:hAnsi="仿宋_GB2312" w:cs="仿宋_GB2312" w:eastAsia="仿宋_GB2312"/>
                      <w:sz w:val="24"/>
                    </w:rPr>
                    <w:t>6、▲寿命≥30000H，光通维持率：在3000小时燃点后，光通维持率应≥93%。产品需符合《GB/T 33721》、《GB 40070》等标准。</w:t>
                  </w:r>
                  <w:r>
                    <w:br/>
                  </w:r>
                  <w:r>
                    <w:rPr>
                      <w:rFonts w:ascii="仿宋_GB2312" w:hAnsi="仿宋_GB2312" w:cs="仿宋_GB2312" w:eastAsia="仿宋_GB2312"/>
                      <w:sz w:val="24"/>
                    </w:rPr>
                    <w:t>7、▲标准符合性：产品性能应符合《QB/T 5533-2020教室照明灯具》要求。</w:t>
                  </w:r>
                  <w:r>
                    <w:br/>
                  </w:r>
                  <w:r>
                    <w:rPr>
                      <w:rFonts w:ascii="仿宋_GB2312" w:hAnsi="仿宋_GB2312" w:cs="仿宋_GB2312" w:eastAsia="仿宋_GB2312"/>
                      <w:sz w:val="24"/>
                    </w:rPr>
                    <w:t>8、▲安全与结构：产品安全性能应符合《GB 7000.1》要求，并提供有效的CCC认证证书。机械悬挂等结构性能应符合《QB/T 5533》要求。</w:t>
                  </w:r>
                  <w:r>
                    <w:br/>
                  </w:r>
                  <w:r>
                    <w:rPr>
                      <w:rFonts w:ascii="仿宋_GB2312" w:hAnsi="仿宋_GB2312" w:cs="仿宋_GB2312" w:eastAsia="仿宋_GB2312"/>
                      <w:sz w:val="24"/>
                    </w:rPr>
                    <w:t>9、CCC认证：产品必须通过中国强制性产品认证（CCC认证）并在有效期内。</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657</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盏</w:t>
                  </w:r>
                </w:p>
              </w:tc>
            </w:tr>
            <w:tr>
              <w:tc>
                <w:tcPr>
                  <w:tcW w:type="dxa" w:w="5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LED板书灯（吊装式）</w:t>
                  </w:r>
                </w:p>
                <w:p>
                  <w:pPr>
                    <w:pStyle w:val="null3"/>
                    <w:jc w:val="center"/>
                  </w:pPr>
                  <w:r>
                    <w:rPr>
                      <w:rFonts w:ascii="仿宋_GB2312" w:hAnsi="仿宋_GB2312" w:cs="仿宋_GB2312" w:eastAsia="仿宋_GB2312"/>
                      <w:sz w:val="19"/>
                    </w:rPr>
                    <w:t xml:space="preserve">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1、额定功率</w:t>
                  </w:r>
                  <w:r>
                    <w:rPr>
                      <w:rFonts w:ascii="仿宋_GB2312" w:hAnsi="仿宋_GB2312" w:cs="仿宋_GB2312" w:eastAsia="仿宋_GB2312"/>
                      <w:sz w:val="24"/>
                    </w:rPr>
                    <w:t>36±1W；功率因数≥0.95，灯具光通量≥3000 lm,灯具效能≥90 lm/w.</w:t>
                  </w:r>
                  <w:r>
                    <w:br/>
                  </w:r>
                  <w:r>
                    <w:rPr>
                      <w:rFonts w:ascii="仿宋_GB2312" w:hAnsi="仿宋_GB2312" w:cs="仿宋_GB2312" w:eastAsia="仿宋_GB2312"/>
                      <w:sz w:val="24"/>
                    </w:rPr>
                    <w:t>2、额定色温3300K--5300K，显色指数（Ra）≥90，R9≥70，色品容差SDCM≤5。</w:t>
                  </w:r>
                  <w:r>
                    <w:br/>
                  </w:r>
                  <w:r>
                    <w:rPr>
                      <w:rFonts w:ascii="仿宋_GB2312" w:hAnsi="仿宋_GB2312" w:cs="仿宋_GB2312" w:eastAsia="仿宋_GB2312"/>
                      <w:sz w:val="24"/>
                    </w:rPr>
                    <w:t>3、外形尺寸：长1200±20mm，宽80±5mm。材质与工艺：散热背板为金属材质，产品外形平整，无凹陷毛刺，焊缝无透光，表面光洁无流挂。</w:t>
                  </w:r>
                  <w:r>
                    <w:br/>
                  </w:r>
                  <w:r>
                    <w:rPr>
                      <w:rFonts w:ascii="仿宋_GB2312" w:hAnsi="仿宋_GB2312" w:cs="仿宋_GB2312" w:eastAsia="仿宋_GB2312"/>
                      <w:sz w:val="24"/>
                    </w:rPr>
                    <w:t>4、蓝光危害：视网膜蓝光危害类别为RG0（或无危险类）。</w:t>
                  </w:r>
                  <w:r>
                    <w:br/>
                  </w:r>
                  <w:r>
                    <w:rPr>
                      <w:rFonts w:ascii="仿宋_GB2312" w:hAnsi="仿宋_GB2312" w:cs="仿宋_GB2312" w:eastAsia="仿宋_GB2312"/>
                      <w:sz w:val="24"/>
                    </w:rPr>
                    <w:t>5、频闪：波动深度应符合无显著影响水平；</w:t>
                  </w:r>
                  <w:r>
                    <w:br/>
                  </w:r>
                  <w:r>
                    <w:rPr>
                      <w:rFonts w:ascii="仿宋_GB2312" w:hAnsi="仿宋_GB2312" w:cs="仿宋_GB2312" w:eastAsia="仿宋_GB2312"/>
                      <w:sz w:val="24"/>
                    </w:rPr>
                    <w:t>6、▲寿命≥30000H，光通维持率：在3000小时燃点后，光通维持率应≥93%。产品需符合《GB/T 33721》、《GB 40070》等标准。</w:t>
                  </w:r>
                  <w:r>
                    <w:br/>
                  </w:r>
                  <w:r>
                    <w:rPr>
                      <w:rFonts w:ascii="仿宋_GB2312" w:hAnsi="仿宋_GB2312" w:cs="仿宋_GB2312" w:eastAsia="仿宋_GB2312"/>
                      <w:sz w:val="24"/>
                    </w:rPr>
                    <w:t>7、▲标准符合性：产品性能应符合《QB/T 5533-2020教室照明灯具》要求。</w:t>
                  </w:r>
                  <w:r>
                    <w:br/>
                  </w:r>
                  <w:r>
                    <w:rPr>
                      <w:rFonts w:ascii="仿宋_GB2312" w:hAnsi="仿宋_GB2312" w:cs="仿宋_GB2312" w:eastAsia="仿宋_GB2312"/>
                      <w:sz w:val="24"/>
                    </w:rPr>
                    <w:t>8、▲安全与结构：产品安全性能应符合《GB 7000.1》要求，并提供有效的CCC认证证书。机械悬挂等结构性能应符合《QB/T 5533》要求。</w:t>
                  </w:r>
                  <w:r>
                    <w:br/>
                  </w:r>
                  <w:r>
                    <w:rPr>
                      <w:rFonts w:ascii="仿宋_GB2312" w:hAnsi="仿宋_GB2312" w:cs="仿宋_GB2312" w:eastAsia="仿宋_GB2312"/>
                      <w:sz w:val="24"/>
                    </w:rPr>
                    <w:t>9、CCC认证：产品必须通过中国强制性产品认证（CCC认证）并在有效期内。</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219</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盏</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触控开关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1.输入电压：AC220V±10%</w:t>
                  </w:r>
                </w:p>
                <w:p>
                  <w:pPr>
                    <w:pStyle w:val="null3"/>
                    <w:jc w:val="left"/>
                  </w:pPr>
                  <w:r>
                    <w:rPr>
                      <w:rFonts w:ascii="仿宋_GB2312" w:hAnsi="仿宋_GB2312" w:cs="仿宋_GB2312" w:eastAsia="仿宋_GB2312"/>
                      <w:sz w:val="24"/>
                    </w:rPr>
                    <w:t>2.电源频率：50Hz</w:t>
                  </w:r>
                </w:p>
                <w:p>
                  <w:pPr>
                    <w:pStyle w:val="null3"/>
                    <w:jc w:val="left"/>
                  </w:pPr>
                  <w:r>
                    <w:rPr>
                      <w:rFonts w:ascii="仿宋_GB2312" w:hAnsi="仿宋_GB2312" w:cs="仿宋_GB2312" w:eastAsia="仿宋_GB2312"/>
                      <w:sz w:val="24"/>
                    </w:rPr>
                    <w:t>3.无线通讯：满足无线电发射设备符合国家无线电管理规定和技术标准。</w:t>
                  </w:r>
                </w:p>
                <w:p>
                  <w:pPr>
                    <w:pStyle w:val="null3"/>
                    <w:jc w:val="left"/>
                  </w:pPr>
                  <w:r>
                    <w:rPr>
                      <w:rFonts w:ascii="仿宋_GB2312" w:hAnsi="仿宋_GB2312" w:cs="仿宋_GB2312" w:eastAsia="仿宋_GB2312"/>
                      <w:sz w:val="24"/>
                    </w:rPr>
                    <w:t>4.场景控制：根据教学场景配置不少于4到6种默认场景模式，包括上课模式、投影模式、课间模式、自习模式、恒照模式、放学模式。</w:t>
                  </w:r>
                </w:p>
                <w:p>
                  <w:pPr>
                    <w:pStyle w:val="null3"/>
                    <w:jc w:val="left"/>
                  </w:pPr>
                  <w:r>
                    <w:rPr>
                      <w:rFonts w:ascii="仿宋_GB2312" w:hAnsi="仿宋_GB2312" w:cs="仿宋_GB2312" w:eastAsia="仿宋_GB2312"/>
                      <w:sz w:val="24"/>
                    </w:rPr>
                    <w:t>5.待机功耗：≤1.0W。</w:t>
                  </w:r>
                </w:p>
                <w:p>
                  <w:pPr>
                    <w:pStyle w:val="null3"/>
                    <w:jc w:val="left"/>
                  </w:pPr>
                  <w:r>
                    <w:rPr>
                      <w:rFonts w:ascii="仿宋_GB2312" w:hAnsi="仿宋_GB2312" w:cs="仿宋_GB2312" w:eastAsia="仿宋_GB2312"/>
                      <w:sz w:val="24"/>
                    </w:rPr>
                    <w:t>6.▲拓展性：通过网关与管理系统进行通讯，实现集中管理和控制。</w:t>
                  </w:r>
                </w:p>
                <w:p>
                  <w:pPr>
                    <w:pStyle w:val="null3"/>
                    <w:jc w:val="left"/>
                  </w:pPr>
                  <w:r>
                    <w:rPr>
                      <w:rFonts w:ascii="仿宋_GB2312" w:hAnsi="仿宋_GB2312" w:cs="仿宋_GB2312" w:eastAsia="仿宋_GB2312"/>
                      <w:sz w:val="24"/>
                    </w:rPr>
                    <w:t>7.产品尺寸：标准86式面板设计.</w:t>
                  </w:r>
                </w:p>
                <w:p>
                  <w:pPr>
                    <w:pStyle w:val="null3"/>
                    <w:jc w:val="left"/>
                  </w:pPr>
                  <w:r>
                    <w:rPr>
                      <w:rFonts w:ascii="仿宋_GB2312" w:hAnsi="仿宋_GB2312" w:cs="仿宋_GB2312" w:eastAsia="仿宋_GB2312"/>
                      <w:sz w:val="24"/>
                    </w:rPr>
                    <w:t>8.▲材质与工艺：面板采用阻燃PC或钢化玻璃；壳体采用V0级阻燃材料。</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开关、布线以及辅材</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1.86开关、电路布线。</w:t>
                  </w:r>
                  <w:r>
                    <w:br/>
                  </w:r>
                  <w:r>
                    <w:rPr>
                      <w:rFonts w:ascii="仿宋_GB2312" w:hAnsi="仿宋_GB2312" w:cs="仿宋_GB2312" w:eastAsia="仿宋_GB2312"/>
                      <w:sz w:val="24"/>
                    </w:rPr>
                    <w:t xml:space="preserve">2.国标铜芯线 2.5mm²。                                     </w:t>
                  </w:r>
                  <w:r>
                    <w:br/>
                  </w:r>
                  <w:r>
                    <w:rPr>
                      <w:rFonts w:ascii="仿宋_GB2312" w:hAnsi="仿宋_GB2312" w:cs="仿宋_GB2312" w:eastAsia="仿宋_GB2312"/>
                      <w:sz w:val="24"/>
                    </w:rPr>
                    <w:t>3.拆卸原灯，粉刷顶，顶面粉刷恢复。</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灯具安装</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1.黑板灯安装：灯具应平行于黑板。距黑板平行间距d宜为700-1000mm，距黑板上缘垂直距离h宜为100-200mm。实际安装效果应确保灯具不遮挡投影设备、并通过调整控照角度避免对老师产生的直接眩光。</w:t>
                  </w:r>
                  <w:r>
                    <w:br/>
                  </w:r>
                  <w:r>
                    <w:rPr>
                      <w:rFonts w:ascii="仿宋_GB2312" w:hAnsi="仿宋_GB2312" w:cs="仿宋_GB2312" w:eastAsia="仿宋_GB2312"/>
                      <w:sz w:val="24"/>
                    </w:rPr>
                    <w:t>2.黑板灯应具备投射角和安装高度的调节功能，以满足不同教室环境的黑板照明要求，并在调试后能可靠固定。</w:t>
                  </w:r>
                  <w:r>
                    <w:br/>
                  </w:r>
                  <w:r>
                    <w:rPr>
                      <w:rFonts w:ascii="仿宋_GB2312" w:hAnsi="仿宋_GB2312" w:cs="仿宋_GB2312" w:eastAsia="仿宋_GB2312"/>
                      <w:sz w:val="24"/>
                    </w:rPr>
                    <w:t>3.教室灯具应采用金属镀锌刚性吊杆安装。吊杆应与灯面垂直，不得倾斜。灯具距课桌面的最低悬挂高度不应低于1700mm。</w:t>
                  </w:r>
                  <w:r>
                    <w:br/>
                  </w:r>
                  <w:r>
                    <w:rPr>
                      <w:rFonts w:ascii="仿宋_GB2312" w:hAnsi="仿宋_GB2312" w:cs="仿宋_GB2312" w:eastAsia="仿宋_GB2312"/>
                      <w:sz w:val="24"/>
                    </w:rPr>
                    <w:t>4.教室灯具应按教室纵向（灯具长轴垂直于黑板面）均匀布设。</w:t>
                  </w:r>
                  <w:r>
                    <w:br/>
                  </w:r>
                  <w:r>
                    <w:rPr>
                      <w:rFonts w:ascii="仿宋_GB2312" w:hAnsi="仿宋_GB2312" w:cs="仿宋_GB2312" w:eastAsia="仿宋_GB2312"/>
                      <w:sz w:val="24"/>
                    </w:rPr>
                    <w:t>5.教室如安装有风扇，灯具出光面应低于风扇叶面。</w:t>
                  </w:r>
                  <w:r>
                    <w:br/>
                  </w:r>
                  <w:r>
                    <w:rPr>
                      <w:rFonts w:ascii="仿宋_GB2312" w:hAnsi="仿宋_GB2312" w:cs="仿宋_GB2312" w:eastAsia="仿宋_GB2312"/>
                      <w:sz w:val="24"/>
                    </w:rPr>
                    <w:t>6.安装牢固性：应根据教室顶部楼板实际情况选择合适的紧固件。安装完成后应进行拉力测试，确保灯具安装牢固，无松动、摇晃现象。</w:t>
                  </w:r>
                  <w:r>
                    <w:br/>
                  </w:r>
                  <w:r>
                    <w:rPr>
                      <w:rFonts w:ascii="仿宋_GB2312" w:hAnsi="仿宋_GB2312" w:cs="仿宋_GB2312" w:eastAsia="仿宋_GB2312"/>
                      <w:sz w:val="24"/>
                    </w:rPr>
                    <w:t>7.安装协调性：灯具安装位置应结合考虑天花布局，避免与空调、投影仪、监控摄像头、消防喷淋等设备相互遮挡或干扰。应在设计阶段进行综合排布。</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间</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吊顶机</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制冷量：</w:t>
                  </w:r>
                  <w:r>
                    <w:rPr>
                      <w:rFonts w:ascii="仿宋_GB2312" w:hAnsi="仿宋_GB2312" w:cs="仿宋_GB2312" w:eastAsia="仿宋_GB2312"/>
                      <w:sz w:val="24"/>
                    </w:rPr>
                    <w:t>≥12KW,制热量：≥14.5KW,</w:t>
                  </w:r>
                </w:p>
                <w:p>
                  <w:pPr>
                    <w:pStyle w:val="null3"/>
                  </w:pPr>
                  <w:r>
                    <w:rPr>
                      <w:rFonts w:ascii="仿宋_GB2312" w:hAnsi="仿宋_GB2312" w:cs="仿宋_GB2312" w:eastAsia="仿宋_GB2312"/>
                      <w:sz w:val="24"/>
                    </w:rPr>
                    <w:t>2.能效等级：三级能效，</w:t>
                  </w:r>
                  <w:r>
                    <w:br/>
                  </w:r>
                  <w:r>
                    <w:rPr>
                      <w:rFonts w:ascii="仿宋_GB2312" w:hAnsi="仿宋_GB2312" w:cs="仿宋_GB2312" w:eastAsia="仿宋_GB2312"/>
                      <w:sz w:val="24"/>
                    </w:rPr>
                    <w:t>3.内机噪声：≤49dB(A),</w:t>
                  </w:r>
                </w:p>
                <w:p>
                  <w:pPr>
                    <w:pStyle w:val="null3"/>
                    <w:jc w:val="left"/>
                  </w:pPr>
                  <w:r>
                    <w:rPr>
                      <w:rFonts w:ascii="仿宋_GB2312" w:hAnsi="仿宋_GB2312" w:cs="仿宋_GB2312" w:eastAsia="仿宋_GB2312"/>
                      <w:sz w:val="24"/>
                    </w:rPr>
                    <w:t>4.外机噪音：≤57dB(A)</w:t>
                  </w:r>
                  <w:r>
                    <w:br/>
                  </w:r>
                  <w:r>
                    <w:rPr>
                      <w:rFonts w:ascii="仿宋_GB2312" w:hAnsi="仿宋_GB2312" w:cs="仿宋_GB2312" w:eastAsia="仿宋_GB2312"/>
                      <w:sz w:val="24"/>
                    </w:rPr>
                    <w:t>5.内机尺寸：宽*高*深840(±5)*300(-10)*840(±5mm)</w:t>
                  </w:r>
                  <w:r>
                    <w:br/>
                  </w:r>
                  <w:r>
                    <w:rPr>
                      <w:rFonts w:ascii="仿宋_GB2312" w:hAnsi="仿宋_GB2312" w:cs="仿宋_GB2312" w:eastAsia="仿宋_GB2312"/>
                      <w:sz w:val="24"/>
                    </w:rPr>
                    <w:t>6.电压/频率：380v/50Hz</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线控器</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实现对主机的自动运行、制冷、制热、除湿、通风、节能、除霜等模式和强制关机、自检等功能控制。</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辅料及安装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铜管、保温棉、帆布、信号线及其它辅材。</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教室电路改造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1.电路布线。</w:t>
                  </w:r>
                </w:p>
                <w:p>
                  <w:pPr>
                    <w:pStyle w:val="null3"/>
                    <w:jc w:val="left"/>
                  </w:pPr>
                  <w:r>
                    <w:rPr>
                      <w:rFonts w:ascii="仿宋_GB2312" w:hAnsi="仿宋_GB2312" w:cs="仿宋_GB2312" w:eastAsia="仿宋_GB2312"/>
                      <w:sz w:val="24"/>
                    </w:rPr>
                    <w:t>2.国标铜芯线 6mm²</w:t>
                  </w:r>
                </w:p>
                <w:p>
                  <w:pPr>
                    <w:pStyle w:val="null3"/>
                    <w:jc w:val="left"/>
                  </w:pPr>
                  <w:r>
                    <w:rPr>
                      <w:rFonts w:ascii="仿宋_GB2312" w:hAnsi="仿宋_GB2312" w:cs="仿宋_GB2312" w:eastAsia="仿宋_GB2312"/>
                      <w:sz w:val="24"/>
                    </w:rPr>
                    <w:t>3.线管φ20，预埋敷设，采用材质 PVC 线管</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楼道电路改造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主线：</w:t>
                  </w:r>
                  <w:r>
                    <w:rPr>
                      <w:rFonts w:ascii="仿宋_GB2312" w:hAnsi="仿宋_GB2312" w:cs="仿宋_GB2312" w:eastAsia="仿宋_GB2312"/>
                      <w:sz w:val="24"/>
                    </w:rPr>
                    <w:t>YJV-3×16mm² + 2×10mm²（铜缆），空调线路改造。</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511"/>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拆除</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拆除原风扇，粉刷顶，顶面粉刷恢复。</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电能表及断路器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电能表：三相四线电子式电能表</w:t>
                  </w:r>
                  <w:r>
                    <w:rPr>
                      <w:rFonts w:ascii="仿宋_GB2312" w:hAnsi="仿宋_GB2312" w:cs="仿宋_GB2312" w:eastAsia="仿宋_GB2312"/>
                      <w:sz w:val="24"/>
                    </w:rPr>
                    <w:t>3*220/380V，50HZ，</w:t>
                  </w:r>
                </w:p>
                <w:p>
                  <w:pPr>
                    <w:pStyle w:val="null3"/>
                    <w:jc w:val="both"/>
                  </w:pPr>
                  <w:r>
                    <w:rPr>
                      <w:rFonts w:ascii="仿宋_GB2312" w:hAnsi="仿宋_GB2312" w:cs="仿宋_GB2312" w:eastAsia="仿宋_GB2312"/>
                      <w:sz w:val="24"/>
                    </w:rPr>
                    <w:t>2.断路器</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A ，</w:t>
                  </w:r>
                  <w:r>
                    <w:rPr>
                      <w:rFonts w:ascii="仿宋_GB2312" w:hAnsi="仿宋_GB2312" w:cs="仿宋_GB2312" w:eastAsia="仿宋_GB2312"/>
                      <w:sz w:val="24"/>
                    </w:rPr>
                    <w:t>4P。</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bl>
          <w:p>
            <w:pPr>
              <w:pStyle w:val="null3"/>
              <w:jc w:val="both"/>
            </w:pPr>
            <w:r>
              <w:rPr>
                <w:rFonts w:ascii="仿宋_GB2312" w:hAnsi="仿宋_GB2312" w:cs="仿宋_GB2312" w:eastAsia="仿宋_GB2312"/>
                <w:sz w:val="24"/>
                <w:b/>
              </w:rPr>
              <w:t>说明：</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本</w:t>
            </w:r>
            <w:r>
              <w:rPr>
                <w:rFonts w:ascii="仿宋_GB2312" w:hAnsi="仿宋_GB2312" w:cs="仿宋_GB2312" w:eastAsia="仿宋_GB2312"/>
                <w:sz w:val="24"/>
                <w:b/>
              </w:rPr>
              <w:t>项目</w:t>
            </w:r>
            <w:r>
              <w:rPr>
                <w:rFonts w:ascii="仿宋_GB2312" w:hAnsi="仿宋_GB2312" w:cs="仿宋_GB2312" w:eastAsia="仿宋_GB2312"/>
                <w:sz w:val="24"/>
                <w:b/>
              </w:rPr>
              <w:t>核心产品：</w:t>
            </w:r>
            <w:r>
              <w:rPr>
                <w:rFonts w:ascii="仿宋_GB2312" w:hAnsi="仿宋_GB2312" w:cs="仿宋_GB2312" w:eastAsia="仿宋_GB2312"/>
                <w:sz w:val="24"/>
                <w:b/>
              </w:rPr>
              <w:t xml:space="preserve">※ </w:t>
            </w:r>
            <w:r>
              <w:rPr>
                <w:rFonts w:ascii="仿宋_GB2312" w:hAnsi="仿宋_GB2312" w:cs="仿宋_GB2312" w:eastAsia="仿宋_GB2312"/>
                <w:sz w:val="24"/>
                <w:b/>
              </w:rPr>
              <w:t>LED教室灯（吊装式</w:t>
            </w:r>
            <w:r>
              <w:rPr>
                <w:rFonts w:ascii="仿宋_GB2312" w:hAnsi="仿宋_GB2312" w:cs="仿宋_GB2312" w:eastAsia="仿宋_GB2312"/>
                <w:sz w:val="24"/>
                <w:b/>
              </w:rPr>
              <w:t>）</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标</w:t>
            </w:r>
            <w:r>
              <w:rPr>
                <w:rFonts w:ascii="仿宋_GB2312" w:hAnsi="仿宋_GB2312" w:cs="仿宋_GB2312" w:eastAsia="仿宋_GB2312"/>
                <w:sz w:val="24"/>
                <w:b/>
              </w:rPr>
              <w:t>▲项为重要参数</w:t>
            </w:r>
            <w:r>
              <w:rPr>
                <w:rFonts w:ascii="仿宋_GB2312" w:hAnsi="仿宋_GB2312" w:cs="仿宋_GB2312" w:eastAsia="仿宋_GB2312"/>
                <w:sz w:val="24"/>
                <w:b/>
              </w:rPr>
              <w:t>，不满足将影响评分。</w:t>
            </w:r>
          </w:p>
          <w:p>
            <w:pPr>
              <w:pStyle w:val="null3"/>
              <w:jc w:val="both"/>
            </w:pPr>
            <w:r>
              <w:rPr>
                <w:rFonts w:ascii="仿宋_GB2312" w:hAnsi="仿宋_GB2312" w:cs="仿宋_GB2312" w:eastAsia="仿宋_GB2312"/>
                <w:sz w:val="24"/>
                <w:b/>
              </w:rPr>
              <w:t>3.本项目为部分面向中小企业采购，预留形式为合同分包，预留份额</w:t>
            </w:r>
            <w:r>
              <w:rPr>
                <w:rFonts w:ascii="仿宋_GB2312" w:hAnsi="仿宋_GB2312" w:cs="仿宋_GB2312" w:eastAsia="仿宋_GB2312"/>
                <w:sz w:val="24"/>
                <w:b/>
              </w:rPr>
              <w:t>40</w:t>
            </w:r>
            <w:r>
              <w:rPr>
                <w:rFonts w:ascii="仿宋_GB2312" w:hAnsi="仿宋_GB2312" w:cs="仿宋_GB2312" w:eastAsia="仿宋_GB2312"/>
                <w:sz w:val="24"/>
                <w:b/>
              </w:rPr>
              <w:t>%，具体</w:t>
            </w:r>
            <w:r>
              <w:rPr>
                <w:rFonts w:ascii="仿宋_GB2312" w:hAnsi="仿宋_GB2312" w:cs="仿宋_GB2312" w:eastAsia="仿宋_GB2312"/>
                <w:sz w:val="24"/>
                <w:b/>
              </w:rPr>
              <w:t>详见采购内容。</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项目设施设备安装调试完成，经验收合格后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待审计结束后，按照审计价款，付清剩余项目款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整体进行验收。软件安装、调试并正常运行后，由乙方进行自检，合格后，准备验收文件，并书面通知甲方。甲方确认乙方的自检内容后，会同乙方（必要时请有关专家）进行验收，验收合格后，填写项目验收单（一式四份）作为对系统的最终认可。 验收标准：按招标文件、投标文件及澄清函等技术指标进行验收。各项指标均应符合验收标准及要求。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质保期：自项目验收合格之日起1年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合同执行中发生争议的，当事人双方应协商解决，协商达不成一致时，可向项目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备注：银行、保险、石油石化、电力、电信等行业分支机构参与本项目投标时，投标响应文件中须提供相关授权文件。 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3年内无重大违法记录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投标人代表应提供法定代表人（单位负责人）授权书（附法定代表人（单位负责人）及被授权人身份证复印件），法定代表人（单位负责人）直接参加只须提供法定代表人（单位负责人）身份证明；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分包意向协议及中小企业声明函</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40%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 文件要求的格式编写投标文件。</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商务应答表 投标文件封面 产品技术参数表.docx 陕西省政府采购供应商拒绝政府采购领域商业贿赂承诺书.docx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是否按照招标文件规定提交了投标保证金或担保机构保函。</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非强制节能、环境标志产品清单.docx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1.质保期在满足招标文件要求的基础上，每增加1年得1分，满分3分。 2.交货期在满足招标文件要求基础上，每提前5个日历天得1分，满分2分。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货源组织</w:t>
            </w:r>
          </w:p>
        </w:tc>
        <w:tc>
          <w:tcPr>
            <w:tcW w:type="dxa" w:w="2492"/>
          </w:tcPr>
          <w:p>
            <w:pPr>
              <w:pStyle w:val="null3"/>
            </w:pPr>
            <w:r>
              <w:rPr>
                <w:rFonts w:ascii="仿宋_GB2312" w:hAnsi="仿宋_GB2312" w:cs="仿宋_GB2312" w:eastAsia="仿宋_GB2312"/>
              </w:rPr>
              <w:t>LED教室灯（吊装式）、LED板书灯（吊装式）、触控开关、吊顶机、线控器，需提供产品的合法来源渠道证明材料或情况说明，每提供一项产品的合法证明材料得1分，满分5分。 备注：①投标人为所投产品的制造商，需提供情况说明，说明某一项产品为制造商自己生产。 ②投标人为所投产品代理商或其他情况，产品来源渠道合法的证明材料包括但不限于原厂授权书、销售协议、代理协议等证明材料其中任意一种。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合法来源渠道证明材料.docx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供应商所投产品技术参数清楚、明确并能逐条响应并满足招标文件“采购内容及技术要求”参数表中所有参数要求， （1）满足招标文件参数技术指标标注“▲”项参数得5分，每有一条负偏离扣1分，扣完为止； （2）满足招标文件参数技术指标非“▲”项参数得5分，每有一条负偏离扣0.5分，扣完为止。 （3）对招标文件参数有进一步说明的得5分，照搬“招标文件参数技术指标”中内容未做进一步说明的每项扣0.5分，扣完为止。 （4）优于招标文件参数要求的每有一项得1分，最高得5分。 （5）供应商所投产品技术参数清楚、无任何参数遗漏的得 5 分，每遗漏一项扣0.5分，扣完为止； 备注：参数需提供相应证明材料（证明材料包含但不限于技术白皮书、官网功能截图、产品彩页、产品技术说明、相关检测报告等资料任意一种。）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投标文件中标“▲”项证明资料.docx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针对本项目提供完整的项目供货方案： 内容包含：①供货实施计划；②安装及调试方案；③培训方案；④应急预案等组织措施；⑤人员配备。 2、评审标准 ①完整性：方案须全面，对评审内容中的各项要求有详细描述及说明； ②可实施性：切合本项目实际情况，实施步骤清晰、科学、合理； ③针对性：方案能够紧扣项目实际情况，内容全面、科学合理、详细具体。 3、赋分标准 ①供货实施计划每完全满足一个评审标准得1分，满分3分； ②安装及调试方案每完全满足一个评审标准得1分，满分3分； ③培训方案每完全满足一个评审标准得1分，满分3分； ④应急预案等组织措施每完全满足一个评审标准得1分，满分3分； ⑤人员配备每完全满足一个评审标准得1分，满分3分。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质量保障措施根据供应商提供的①质量保障承诺及措施；②产品性能；③验收方案及措施。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①质量保障承诺及措施每完全满足一个评审标准得1分，满分3分； ②产品性能每完全满足一个评审标准得1 分，满分3分； ③验收方案及措施每完全满足一个评审标准得1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①维护保养时间安排每完全满足一个评审标准得0.5 分，满分1.5分； ②备品备件计划每完全满足一个评审标准得0.5 分，满分1.5分； ③售后服务范围及保障措施每完全满足一个评审标准得1分，满分3分； ④出现故障响应时间及措施每完全满足一个评审标准得1分，满分3分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详见附件：分包意向协议.docx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详见附件：合法来源渠道证明材料.docx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详见附件：投标文件中标“▲”项证明资料.docx</w:t>
      </w:r>
    </w:p>
    <w:p>
      <w:pPr>
        <w:pStyle w:val="null3"/>
        <w:ind w:firstLine="960"/>
      </w:pPr>
      <w:r>
        <w:rPr>
          <w:rFonts w:ascii="仿宋_GB2312" w:hAnsi="仿宋_GB2312" w:cs="仿宋_GB2312" w:eastAsia="仿宋_GB2312"/>
        </w:rPr>
        <w:t>详见附件：非强制节能、环境标志产品清单.docx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