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C1707">
      <w:pPr>
        <w:jc w:val="center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已标价工程量清单</w:t>
      </w:r>
    </w:p>
    <w:p w14:paraId="46EC9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40"/>
        </w:rPr>
        <w:t>.已标价工程量清单应按工程量清单报价相关要求进行填报；</w:t>
      </w:r>
    </w:p>
    <w:p w14:paraId="4AC8F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40"/>
        </w:rPr>
        <w:t>.已标价工程量清单原件扫描成 PDF 格式，以附件形式上传，作为响应文件的组成部分。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AA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2025-09-24T08:13:48Z</dcterms:created>
  <dc:creator>Administrator</dc:creator>
  <cp:lastModifiedBy></cp:lastModifiedBy>
  <dcterms:modified xsi:type="dcterms:W3CDTF">2025-09-24T08:15:02Z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eyJoZGlkIjoiOTNmYzhmNGFmMGQyNDQzOTk0NjQxYTRmNjYxZWY4YWUiLCJ1c2VySWQiOiIyMTkxMDU4MjgifQ==</vt:lpwstr>
  </property>
  <property fmtid="{D5CDD505-2E9C-101B-9397-08002B2CF9AE}" pid="4" name="ICV">
    <vt:lpwstr>51E7BCA0A7534BD2AAD399E4F83E43CA_12</vt:lpwstr>
  </property>
</Properties>
</file>