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版本号：TWZB2026-01420260122002</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合阳县南龙亭乔氏家庙保护修缮工程</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TWZB2026-014</w:t>
      </w:r>
      <w:r>
        <w:br/>
      </w:r>
      <w:r>
        <w:br/>
      </w:r>
      <w:r>
        <w:br/>
      </w:r>
    </w:p>
    <w:p>
      <w:pPr>
        <w:pStyle w:val="null3"/>
        <w:jc w:val="center"/>
        <w:outlineLvl w:val="2"/>
      </w:pPr>
      <w:r>
        <w:rPr>
          <w:rFonts w:ascii="仿宋_GB2312" w:hAnsi="仿宋_GB2312" w:cs="仿宋_GB2312" w:eastAsia="仿宋_GB2312"/>
          <w:sz w:val="28"/>
          <w:b/>
        </w:rPr>
        <w:t>合阳县文化和旅游局</w:t>
      </w:r>
    </w:p>
    <w:p>
      <w:pPr>
        <w:pStyle w:val="null3"/>
        <w:jc w:val="center"/>
        <w:outlineLvl w:val="2"/>
      </w:pPr>
      <w:r>
        <w:rPr>
          <w:rFonts w:ascii="仿宋_GB2312" w:hAnsi="仿宋_GB2312" w:cs="仿宋_GB2312" w:eastAsia="仿宋_GB2312"/>
          <w:sz w:val="28"/>
          <w:b/>
        </w:rPr>
        <w:t>陕西天沃工程项目管理有限公司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2026年01月21日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陕西天沃工程项目管理有限公司</w:t>
      </w:r>
      <w:r>
        <w:rPr>
          <w:rFonts w:ascii="仿宋_GB2312" w:hAnsi="仿宋_GB2312" w:cs="仿宋_GB2312" w:eastAsia="仿宋_GB2312"/>
        </w:rPr>
        <w:t>（以下简称“代理机构”）受</w:t>
      </w:r>
      <w:r>
        <w:rPr>
          <w:rFonts w:ascii="仿宋_GB2312" w:hAnsi="仿宋_GB2312" w:cs="仿宋_GB2312" w:eastAsia="仿宋_GB2312"/>
        </w:rPr>
        <w:t>合阳县文化和旅游局</w:t>
      </w:r>
      <w:r>
        <w:rPr>
          <w:rFonts w:ascii="仿宋_GB2312" w:hAnsi="仿宋_GB2312" w:cs="仿宋_GB2312" w:eastAsia="仿宋_GB2312"/>
        </w:rPr>
        <w:t>委托，拟对</w:t>
      </w:r>
      <w:r>
        <w:rPr>
          <w:rFonts w:ascii="仿宋_GB2312" w:hAnsi="仿宋_GB2312" w:cs="仿宋_GB2312" w:eastAsia="仿宋_GB2312"/>
        </w:rPr>
        <w:t>合阳县南龙亭乔氏家庙保护修缮工程</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TWZB2026-014</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合阳县南龙亭乔氏家庙保护修缮工程</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对南龙亭乔氏家庙实施揭顶维修、重做屋面、修补屋脊、局部拆砌墙面、更换木构件、补配格栅门、剔补墙面青砖、更换阶条石、重铺地面、整治院内小环境及排水等，确保文物得到有效保护。</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采购包1（合阳县南龙亭乔氏家庙保护修缮工程）：属于专门面向中小企业采购。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的能力：供应商为响应磋商并参加投标的合法注册的企业法人、事业法人或其他组织。企业法人应提供合法有效的标识有统一社会信用代码的营业执照；事业法人应提供事业单位法人证书；其他组织应提供合法登记证明文件；</w:t>
      </w:r>
    </w:p>
    <w:p>
      <w:pPr>
        <w:pStyle w:val="null3"/>
      </w:pPr>
      <w:r>
        <w:rPr>
          <w:rFonts w:ascii="仿宋_GB2312" w:hAnsi="仿宋_GB2312" w:cs="仿宋_GB2312" w:eastAsia="仿宋_GB2312"/>
        </w:rPr>
        <w:t>2、供应商资质要求：具备有效的建设行政主管部门颁发的建筑工程施工总承包三级（含三级）及以上资质和文物主管部门颁发的文物保护工程施工二级及以上资质证书（业务范围须包含古建筑），建设行政主管部门颁发的有效的安全生产许可证；</w:t>
      </w:r>
    </w:p>
    <w:p>
      <w:pPr>
        <w:pStyle w:val="null3"/>
      </w:pPr>
      <w:r>
        <w:rPr>
          <w:rFonts w:ascii="仿宋_GB2312" w:hAnsi="仿宋_GB2312" w:cs="仿宋_GB2312" w:eastAsia="仿宋_GB2312"/>
        </w:rPr>
        <w:t>3、拟派项目经理资质：拟派项目经理具备有效的文物保护工程责任工程师执业资格证书或省级以上文物行政部门颁发的文物保护工程施工负责人培训合格证书，且未担任其他在建工程项目的项目经理（提供开标前6个月内任意一个月的社会养老保险证明）。</w:t>
      </w:r>
    </w:p>
    <w:p>
      <w:pPr>
        <w:pStyle w:val="null3"/>
      </w:pPr>
      <w:r>
        <w:rPr>
          <w:rFonts w:ascii="仿宋_GB2312" w:hAnsi="仿宋_GB2312" w:cs="仿宋_GB2312" w:eastAsia="仿宋_GB2312"/>
        </w:rPr>
        <w:t>4、供应商应授权合法的人员参加投标全过程：法定代表人直接参加投标，须提交法定代表人身份证明书和身份证。法定代表人授权代表参加投标的，须出具法定代表人授权书及法人和授权代表身份证。</w:t>
      </w:r>
    </w:p>
    <w:p>
      <w:pPr>
        <w:pStyle w:val="null3"/>
      </w:pPr>
      <w:r>
        <w:rPr>
          <w:rFonts w:ascii="仿宋_GB2312" w:hAnsi="仿宋_GB2312" w:cs="仿宋_GB2312" w:eastAsia="仿宋_GB2312"/>
        </w:rPr>
        <w:t>5、财务状况报告：供应商提供2024年度的财务审计报告（至少包括资产负债表、利润表和现金流量表），或其开标前三个月内基本存款账户开户银行出具的资信证明及基本存款账户开户许可证。</w:t>
      </w:r>
    </w:p>
    <w:p>
      <w:pPr>
        <w:pStyle w:val="null3"/>
      </w:pPr>
      <w:r>
        <w:rPr>
          <w:rFonts w:ascii="仿宋_GB2312" w:hAnsi="仿宋_GB2312" w:cs="仿宋_GB2312" w:eastAsia="仿宋_GB2312"/>
        </w:rPr>
        <w:t>6、社会保障资金缴纳证明：供应商提供2025年6月至今任意一个月的社保机构开具的社会保险参保缴费情况证明，依法不需要缴纳社会保障资金的供应商应提供相关文件证明。</w:t>
      </w:r>
    </w:p>
    <w:p>
      <w:pPr>
        <w:pStyle w:val="null3"/>
      </w:pPr>
      <w:r>
        <w:rPr>
          <w:rFonts w:ascii="仿宋_GB2312" w:hAnsi="仿宋_GB2312" w:cs="仿宋_GB2312" w:eastAsia="仿宋_GB2312"/>
        </w:rPr>
        <w:t>7、税收缴纳证明：供应商提供2025年6月至今任意一个月的纳税证明或完税证明，纳税证明或完税证明上应有代收机构或税务机关的公章，依法免税的供应商应提供相关文件证明。</w:t>
      </w:r>
    </w:p>
    <w:p>
      <w:pPr>
        <w:pStyle w:val="null3"/>
      </w:pPr>
      <w:r>
        <w:rPr>
          <w:rFonts w:ascii="仿宋_GB2312" w:hAnsi="仿宋_GB2312" w:cs="仿宋_GB2312" w:eastAsia="仿宋_GB2312"/>
        </w:rPr>
        <w:t>8、供应商信用查询：供应商应在"陕西省建筑市场监管与诚信信息发布平台"可查询；供应商不得在“信用中国”网站（中国执行信息公开网）被列为失信被执行人，不得在“国家企业信用信息公示系统”中被列入严重违法失信企业名单，不得在“中国政府采购网”被列入政府采购严重违法失信行为记录名单。（提供开标时间前相关网页截图）</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合阳县文化和旅游局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合阳县文旅大厦11楼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715300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王张晓</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18992308839</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陕西天沃工程项目管理有限公司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陕西省西安市经济技术开发区凤城十一路文景广场3号楼1202室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薛瑶</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13201996600</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合阳县政府采购管理股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秦股长</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13571546918</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采购包1：3,520,000.00元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代理服务费收费标准：采购代理服务费参照国家计委关于印发《招标代理服务收费管理暂行办法》的通知（计价格〔2002〕1980号）规定标准100%计算。</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合阳县文化和旅游局</w:t>
      </w:r>
      <w:r>
        <w:rPr>
          <w:rFonts w:ascii="仿宋_GB2312" w:hAnsi="仿宋_GB2312" w:cs="仿宋_GB2312" w:eastAsia="仿宋_GB2312"/>
        </w:rPr>
        <w:t>和</w:t>
      </w:r>
      <w:r>
        <w:rPr>
          <w:rFonts w:ascii="仿宋_GB2312" w:hAnsi="仿宋_GB2312" w:cs="仿宋_GB2312" w:eastAsia="仿宋_GB2312"/>
        </w:rPr>
        <w:t>陕西天沃工程项目管理有限公司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合阳县文化和旅游局</w:t>
      </w:r>
      <w:r>
        <w:rPr>
          <w:rFonts w:ascii="仿宋_GB2312" w:hAnsi="仿宋_GB2312" w:cs="仿宋_GB2312" w:eastAsia="仿宋_GB2312"/>
        </w:rPr>
        <w:t>负责解释。除上述磋商文件内容，其他内容由</w:t>
      </w:r>
      <w:r>
        <w:rPr>
          <w:rFonts w:ascii="仿宋_GB2312" w:hAnsi="仿宋_GB2312" w:cs="仿宋_GB2312" w:eastAsia="仿宋_GB2312"/>
        </w:rPr>
        <w:t>陕西天沃工程项目管理有限公司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合阳县文化和旅游局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陕西天沃工程项目管理有限公司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以最终签订的施工合同为准。</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陕西天沃工程项目管理有限公司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陕西天沃工程项目管理有限公司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陕西天沃工程项目管理有限公司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联系人：薛工</w:t>
      </w:r>
    </w:p>
    <w:p>
      <w:pPr>
        <w:pStyle w:val="null3"/>
      </w:pPr>
      <w:r>
        <w:rPr>
          <w:rFonts w:ascii="仿宋_GB2312" w:hAnsi="仿宋_GB2312" w:cs="仿宋_GB2312" w:eastAsia="仿宋_GB2312"/>
        </w:rPr>
        <w:t>联系电话：13201996600</w:t>
      </w:r>
    </w:p>
    <w:p>
      <w:pPr>
        <w:pStyle w:val="null3"/>
      </w:pPr>
      <w:r>
        <w:rPr>
          <w:rFonts w:ascii="仿宋_GB2312" w:hAnsi="仿宋_GB2312" w:cs="仿宋_GB2312" w:eastAsia="仿宋_GB2312"/>
        </w:rPr>
        <w:t>地址：陕西省西安市经济技术开发区凤城十一路文景广场3号楼1202室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3,520,000.00</w:t>
      </w:r>
    </w:p>
    <w:p>
      <w:pPr>
        <w:pStyle w:val="null3"/>
      </w:pPr>
      <w:r>
        <w:rPr>
          <w:rFonts w:ascii="仿宋_GB2312" w:hAnsi="仿宋_GB2312" w:cs="仿宋_GB2312" w:eastAsia="仿宋_GB2312"/>
        </w:rPr>
        <w:t>采购包最高限价（元）: 3,512,982.85</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合阳县南龙亭乔氏家庙保护修缮工程</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3,520,000.00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标的名称：合阳县南龙亭乔氏家庙保护修缮工程</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具体技术参数详见工程量清单。</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pPr>
            <w:r>
              <w:rPr>
                <w:rFonts w:ascii="仿宋_GB2312" w:hAnsi="仿宋_GB2312" w:cs="仿宋_GB2312" w:eastAsia="仿宋_GB2312"/>
              </w:rPr>
              <w:t>工程质量：合格。</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合格。</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为顺利推进政府采购电子化交易平台应用工作，供应商需要在线提交所有通过电子化交易平台实施的政府采购项目的响应文件，同时，线下提交纸质版响应文件，正本壹份、副本壹份（标明供应商名称，密封递交）。若线上电子响应文件与纸质响应文件不一致的，以线上电子响应文件为准；若正本和副本不符，以正本为准。线下递交文件截止时间：详见本项目竞争性磋商公告中响应文件递交截止时间，递交地点：陕西省西安市经济技术开发区凤城十一路文景广场3号楼1202室。</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提供2024年度的财务审计报告（至少包括资产负债表、利润表和现金流量表），或其开标前三个月内基本存款账户开户银行出具的资信证明及基本存款账户开户许可证。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供应商应提交的资格证明文件.docx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具有独立承担民事责任的能力</w:t>
            </w:r>
          </w:p>
        </w:tc>
        <w:tc>
          <w:tcPr>
            <w:tcW w:type="dxa" w:w="3322"/>
          </w:tcPr>
          <w:p>
            <w:pPr>
              <w:pStyle w:val="null3"/>
            </w:pPr>
            <w:r>
              <w:rPr>
                <w:rFonts w:ascii="仿宋_GB2312" w:hAnsi="仿宋_GB2312" w:cs="仿宋_GB2312" w:eastAsia="仿宋_GB2312"/>
              </w:rPr>
              <w:t>供应商为响应磋商并参加投标的合法注册的企业法人、事业法人或其他组织。企业法人应提供合法有效的标识有统一社会信用代码的营业执照；事业法人应提供事业单位法人证书；其他组织应提供合法登记证明文件；</w:t>
            </w:r>
          </w:p>
        </w:tc>
        <w:tc>
          <w:tcPr>
            <w:tcW w:type="dxa" w:w="1661"/>
          </w:tcPr>
          <w:p>
            <w:pPr>
              <w:pStyle w:val="null3"/>
            </w:pPr>
            <w:r>
              <w:rPr>
                <w:rFonts w:ascii="仿宋_GB2312" w:hAnsi="仿宋_GB2312" w:cs="仿宋_GB2312" w:eastAsia="仿宋_GB2312"/>
              </w:rPr>
              <w:t>供应商应提交的资格证明文件.docx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供应商资质要求</w:t>
            </w:r>
          </w:p>
        </w:tc>
        <w:tc>
          <w:tcPr>
            <w:tcW w:type="dxa" w:w="3322"/>
          </w:tcPr>
          <w:p>
            <w:pPr>
              <w:pStyle w:val="null3"/>
            </w:pPr>
            <w:r>
              <w:rPr>
                <w:rFonts w:ascii="仿宋_GB2312" w:hAnsi="仿宋_GB2312" w:cs="仿宋_GB2312" w:eastAsia="仿宋_GB2312"/>
              </w:rPr>
              <w:t>具备有效的建设行政主管部门颁发的建筑工程施工总承包三级（含三级）及以上资质和文物主管部门颁发的文物保护工程施工二级及以上资质证书（业务范围须包含古建筑），建设行政主管部门颁发的有效的安全生产许可证；</w:t>
            </w:r>
          </w:p>
        </w:tc>
        <w:tc>
          <w:tcPr>
            <w:tcW w:type="dxa" w:w="1661"/>
          </w:tcPr>
          <w:p>
            <w:pPr>
              <w:pStyle w:val="null3"/>
            </w:pPr>
            <w:r>
              <w:rPr>
                <w:rFonts w:ascii="仿宋_GB2312" w:hAnsi="仿宋_GB2312" w:cs="仿宋_GB2312" w:eastAsia="仿宋_GB2312"/>
              </w:rPr>
              <w:t>供应商应提交的资格证明文件.docx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拟派项目经理资质</w:t>
            </w:r>
          </w:p>
        </w:tc>
        <w:tc>
          <w:tcPr>
            <w:tcW w:type="dxa" w:w="3322"/>
          </w:tcPr>
          <w:p>
            <w:pPr>
              <w:pStyle w:val="null3"/>
            </w:pPr>
            <w:r>
              <w:rPr>
                <w:rFonts w:ascii="仿宋_GB2312" w:hAnsi="仿宋_GB2312" w:cs="仿宋_GB2312" w:eastAsia="仿宋_GB2312"/>
              </w:rPr>
              <w:t>拟派项目经理具备有效的文物保护工程责任工程师执业资格证书或省级以上文物行政部门颁发的文物保护工程施工负责人培训合格证书，且未担任其他在建工程项目的项目经理（提供开标前6个月内任意一个月的社会养老保险证明）。</w:t>
            </w:r>
          </w:p>
        </w:tc>
        <w:tc>
          <w:tcPr>
            <w:tcW w:type="dxa" w:w="1661"/>
          </w:tcPr>
          <w:p>
            <w:pPr>
              <w:pStyle w:val="null3"/>
            </w:pPr>
            <w:r>
              <w:rPr>
                <w:rFonts w:ascii="仿宋_GB2312" w:hAnsi="仿宋_GB2312" w:cs="仿宋_GB2312" w:eastAsia="仿宋_GB2312"/>
              </w:rPr>
              <w:t>供应商应提交的资格证明文件.docx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供应商应授权合法的人员参加投标全过程</w:t>
            </w:r>
          </w:p>
        </w:tc>
        <w:tc>
          <w:tcPr>
            <w:tcW w:type="dxa" w:w="3322"/>
          </w:tcPr>
          <w:p>
            <w:pPr>
              <w:pStyle w:val="null3"/>
            </w:pPr>
            <w:r>
              <w:rPr>
                <w:rFonts w:ascii="仿宋_GB2312" w:hAnsi="仿宋_GB2312" w:cs="仿宋_GB2312" w:eastAsia="仿宋_GB2312"/>
              </w:rPr>
              <w:t>法定代表人直接参加投标，须提交法定代表人身份证明书和身份证。法定代表人授权代表参加投标的，须出具法定代表人授权书及法人和授权代表身份证。</w:t>
            </w:r>
          </w:p>
        </w:tc>
        <w:tc>
          <w:tcPr>
            <w:tcW w:type="dxa" w:w="1661"/>
          </w:tcPr>
          <w:p>
            <w:pPr>
              <w:pStyle w:val="null3"/>
            </w:pPr>
            <w:r>
              <w:rPr>
                <w:rFonts w:ascii="仿宋_GB2312" w:hAnsi="仿宋_GB2312" w:cs="仿宋_GB2312" w:eastAsia="仿宋_GB2312"/>
              </w:rPr>
              <w:t>供应商应提交的资格证明文件.docx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供应商提供2024年度的财务审计报告（至少包括资产负债表、利润表和现金流量表），或其开标前三个月内基本存款账户开户银行出具的资信证明及基本存款账户开户许可证。</w:t>
            </w:r>
          </w:p>
        </w:tc>
        <w:tc>
          <w:tcPr>
            <w:tcW w:type="dxa" w:w="1661"/>
          </w:tcPr>
          <w:p>
            <w:pPr>
              <w:pStyle w:val="null3"/>
            </w:pPr>
            <w:r>
              <w:rPr>
                <w:rFonts w:ascii="仿宋_GB2312" w:hAnsi="仿宋_GB2312" w:cs="仿宋_GB2312" w:eastAsia="仿宋_GB2312"/>
              </w:rPr>
              <w:t>供应商应提交的资格证明文件.docx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供应商提供2025年6月至今任意一个月的社保机构开具的社会保险参保缴费情况证明，依法不需要缴纳社会保障资金的供应商应提供相关文件证明。</w:t>
            </w:r>
          </w:p>
        </w:tc>
        <w:tc>
          <w:tcPr>
            <w:tcW w:type="dxa" w:w="1661"/>
          </w:tcPr>
          <w:p>
            <w:pPr>
              <w:pStyle w:val="null3"/>
            </w:pPr>
            <w:r>
              <w:rPr>
                <w:rFonts w:ascii="仿宋_GB2312" w:hAnsi="仿宋_GB2312" w:cs="仿宋_GB2312" w:eastAsia="仿宋_GB2312"/>
              </w:rPr>
              <w:t>供应商应提交的资格证明文件.docx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供应商提供2025年6月至今任意一个月的纳税证明或完税证明，纳税证明或完税证明上应有代收机构或税务机关的公章，依法免税的供应商应提供相关文件证明。</w:t>
            </w:r>
          </w:p>
        </w:tc>
        <w:tc>
          <w:tcPr>
            <w:tcW w:type="dxa" w:w="1661"/>
          </w:tcPr>
          <w:p>
            <w:pPr>
              <w:pStyle w:val="null3"/>
            </w:pPr>
            <w:r>
              <w:rPr>
                <w:rFonts w:ascii="仿宋_GB2312" w:hAnsi="仿宋_GB2312" w:cs="仿宋_GB2312" w:eastAsia="仿宋_GB2312"/>
              </w:rPr>
              <w:t>供应商应提交的资格证明文件.docx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供应商信用查询</w:t>
            </w:r>
          </w:p>
        </w:tc>
        <w:tc>
          <w:tcPr>
            <w:tcW w:type="dxa" w:w="3322"/>
          </w:tcPr>
          <w:p>
            <w:pPr>
              <w:pStyle w:val="null3"/>
            </w:pPr>
            <w:r>
              <w:rPr>
                <w:rFonts w:ascii="仿宋_GB2312" w:hAnsi="仿宋_GB2312" w:cs="仿宋_GB2312" w:eastAsia="仿宋_GB2312"/>
              </w:rPr>
              <w:t>供应商应在"陕西省建筑市场监管与诚信信息发布平台"可查询；供应商不得在“信用中国”网站（中国执行信息公开网）被列为失信被执行人，不得在“国家企业信用信息公示系统”中被列入严重违法失信企业名单，不得在“中国政府采购网”被列入政府采购严重违法失信行为记录名单。（提供开标时间前相关网页截图）</w:t>
            </w:r>
          </w:p>
        </w:tc>
        <w:tc>
          <w:tcPr>
            <w:tcW w:type="dxa" w:w="1661"/>
          </w:tcPr>
          <w:p>
            <w:pPr>
              <w:pStyle w:val="null3"/>
            </w:pPr>
            <w:r>
              <w:rPr>
                <w:rFonts w:ascii="仿宋_GB2312" w:hAnsi="仿宋_GB2312" w:cs="仿宋_GB2312" w:eastAsia="仿宋_GB2312"/>
              </w:rPr>
              <w:t>供应商应提交的资格证明文件.docx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 磋商报价表.docx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响应文件的签署、盖章</w:t>
            </w:r>
          </w:p>
        </w:tc>
        <w:tc>
          <w:tcPr>
            <w:tcW w:type="dxa" w:w="3322"/>
          </w:tcPr>
          <w:p>
            <w:pPr>
              <w:pStyle w:val="null3"/>
            </w:pPr>
            <w:r>
              <w:rPr>
                <w:rFonts w:ascii="仿宋_GB2312" w:hAnsi="仿宋_GB2312" w:cs="仿宋_GB2312" w:eastAsia="仿宋_GB2312"/>
              </w:rPr>
              <w:t>竞争性磋商文件要求盖公章及要求法人或委托代理人盖章或签字的位置必须盖章或签字。</w:t>
            </w:r>
          </w:p>
        </w:tc>
        <w:tc>
          <w:tcPr>
            <w:tcW w:type="dxa" w:w="1661"/>
          </w:tcPr>
          <w:p>
            <w:pPr>
              <w:pStyle w:val="null3"/>
            </w:pPr>
            <w:r>
              <w:rPr>
                <w:rFonts w:ascii="仿宋_GB2312" w:hAnsi="仿宋_GB2312" w:cs="仿宋_GB2312" w:eastAsia="仿宋_GB2312"/>
              </w:rPr>
              <w:t>响应文件封面 供应商应提交的资格证明文件.docx 已标价工程量清单 中小企业声明函 残疾人福利性单位声明函 报价函 标的清单 磋商报价表.docx 响应函 施工组织设计.docx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响应文件格式</w:t>
            </w:r>
          </w:p>
        </w:tc>
        <w:tc>
          <w:tcPr>
            <w:tcW w:type="dxa" w:w="3322"/>
          </w:tcPr>
          <w:p>
            <w:pPr>
              <w:pStyle w:val="null3"/>
            </w:pPr>
            <w:r>
              <w:rPr>
                <w:rFonts w:ascii="仿宋_GB2312" w:hAnsi="仿宋_GB2312" w:cs="仿宋_GB2312" w:eastAsia="仿宋_GB2312"/>
              </w:rPr>
              <w:t>符合“响应文件格式”要求；</w:t>
            </w:r>
          </w:p>
        </w:tc>
        <w:tc>
          <w:tcPr>
            <w:tcW w:type="dxa" w:w="1661"/>
          </w:tcPr>
          <w:p>
            <w:pPr>
              <w:pStyle w:val="null3"/>
            </w:pPr>
            <w:r>
              <w:rPr>
                <w:rFonts w:ascii="仿宋_GB2312" w:hAnsi="仿宋_GB2312" w:cs="仿宋_GB2312" w:eastAsia="仿宋_GB2312"/>
              </w:rPr>
              <w:t>响应文件封面 供应商应提交的资格证明文件.docx 已标价工程量清单 中小企业声明函 残疾人福利性单位声明函 报价函 标的清单 磋商报价表.docx 响应函 施工组织设计.docx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只能有一个有效报价，不得提交选择性报价，且报价不超过采购最高限价；</w:t>
            </w:r>
          </w:p>
        </w:tc>
        <w:tc>
          <w:tcPr>
            <w:tcW w:type="dxa" w:w="1661"/>
          </w:tcPr>
          <w:p>
            <w:pPr>
              <w:pStyle w:val="null3"/>
            </w:pPr>
            <w:r>
              <w:rPr>
                <w:rFonts w:ascii="仿宋_GB2312" w:hAnsi="仿宋_GB2312" w:cs="仿宋_GB2312" w:eastAsia="仿宋_GB2312"/>
              </w:rPr>
              <w:t>已标价工程量清单 报价函 标的清单 磋商报价表.docx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自开标之日起不少于90日历天；</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确保工程质量的技术组织措施</w:t>
            </w:r>
          </w:p>
        </w:tc>
        <w:tc>
          <w:tcPr>
            <w:tcW w:type="dxa" w:w="2492"/>
          </w:tcPr>
          <w:p>
            <w:pPr>
              <w:pStyle w:val="null3"/>
            </w:pPr>
            <w:r>
              <w:rPr>
                <w:rFonts w:ascii="仿宋_GB2312" w:hAnsi="仿宋_GB2312" w:cs="仿宋_GB2312" w:eastAsia="仿宋_GB2312"/>
              </w:rPr>
              <w:t>①措施与项目实际相符，质量技术措施详细、完整、全面，文字组织严密、思路清晰，可操作性强得6分； ②措施与项目实际相符，质量技术措施较为全面，但可操作性一般得4分； ③措施与项目实际相符，保障措施不够完善，可操作性较差得2分； ④不响应或缺项得0分。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确保安全生产的技术组织措施</w:t>
            </w:r>
          </w:p>
        </w:tc>
        <w:tc>
          <w:tcPr>
            <w:tcW w:type="dxa" w:w="2492"/>
          </w:tcPr>
          <w:p>
            <w:pPr>
              <w:pStyle w:val="null3"/>
            </w:pPr>
            <w:r>
              <w:rPr>
                <w:rFonts w:ascii="仿宋_GB2312" w:hAnsi="仿宋_GB2312" w:cs="仿宋_GB2312" w:eastAsia="仿宋_GB2312"/>
              </w:rPr>
              <w:t>①措施与项目实际相符，安全生产保障措施详细、完整、全面，思路清晰、组织严密，可操作性强得6分； ②措施与项目实际相符，安全生产保障措施较为完整，但可操作性一般得4分； ③措施与项目实际相符，安全生产保障措施不够完善，可操作性较差得2分； ④不响应或缺项得0分。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确保文明施工和环境保护的技术组织措施</w:t>
            </w:r>
          </w:p>
        </w:tc>
        <w:tc>
          <w:tcPr>
            <w:tcW w:type="dxa" w:w="2492"/>
          </w:tcPr>
          <w:p>
            <w:pPr>
              <w:pStyle w:val="null3"/>
            </w:pPr>
            <w:r>
              <w:rPr>
                <w:rFonts w:ascii="仿宋_GB2312" w:hAnsi="仿宋_GB2312" w:cs="仿宋_GB2312" w:eastAsia="仿宋_GB2312"/>
              </w:rPr>
              <w:t>①文明施工和环境保护措施详细、完整、全面，与项目实际相符，可操作性强得6分； ②文明施工和环境保护措施较为完整，与项目实际基本相符，但可操作性一般得4分； ③文明施工和环境保护措施不够完善，与项目实际不相符，可操作性较差得2分； ④不响应或缺项得0分。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确保工期的技术组织措施</w:t>
            </w:r>
          </w:p>
        </w:tc>
        <w:tc>
          <w:tcPr>
            <w:tcW w:type="dxa" w:w="2492"/>
          </w:tcPr>
          <w:p>
            <w:pPr>
              <w:pStyle w:val="null3"/>
            </w:pPr>
            <w:r>
              <w:rPr>
                <w:rFonts w:ascii="仿宋_GB2312" w:hAnsi="仿宋_GB2312" w:cs="仿宋_GB2312" w:eastAsia="仿宋_GB2312"/>
              </w:rPr>
              <w:t>①确保工期的技术组织措施与项目实际相符，详细、完整、全面，可操作性强得6分； ②确保工期的技术组织措施与项目实际基本相符，较为完整，但可操作性一般得4分； ③确保工期的技术组织措施与项目实际不相符，不够完善，可操作性较差得2分； ④不响应或缺项得0分。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施工方案</w:t>
            </w:r>
          </w:p>
        </w:tc>
        <w:tc>
          <w:tcPr>
            <w:tcW w:type="dxa" w:w="2492"/>
          </w:tcPr>
          <w:p>
            <w:pPr>
              <w:pStyle w:val="null3"/>
            </w:pPr>
            <w:r>
              <w:rPr>
                <w:rFonts w:ascii="仿宋_GB2312" w:hAnsi="仿宋_GB2312" w:cs="仿宋_GB2312" w:eastAsia="仿宋_GB2312"/>
              </w:rPr>
              <w:t>①施工方案切合实际，组织严密、思路清晰，详细、完整、全面，可操作性强得10分； ②施工方案基本切合实际，较为完整，但可操作性一般得6分； ③施工方案不切合实际，不够完善，可操作性较差得3分； ④不响应或缺项得0分。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项目管理机构</w:t>
            </w:r>
          </w:p>
        </w:tc>
        <w:tc>
          <w:tcPr>
            <w:tcW w:type="dxa" w:w="2492"/>
          </w:tcPr>
          <w:p>
            <w:pPr>
              <w:pStyle w:val="null3"/>
            </w:pPr>
            <w:r>
              <w:rPr>
                <w:rFonts w:ascii="仿宋_GB2312" w:hAnsi="仿宋_GB2312" w:cs="仿宋_GB2312" w:eastAsia="仿宋_GB2312"/>
              </w:rPr>
              <w:t>①拟派项目经理具有文物保护或考古研究专业中级职称计1分，高级及以上职称计2分，初级职称不得分，满分2分； ②拟派技术负责人具有文物保护或考古研究专业中级职称计1分，高级及以上职称计2分，初级职称不得分，满分2分； ③其余拟派成员里具有文物保护或考古研究中级及以上职称者每一人得1分，人员配备最高得5分； ④未提供得0分。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施工机械配备和材料投入计划</w:t>
            </w:r>
          </w:p>
        </w:tc>
        <w:tc>
          <w:tcPr>
            <w:tcW w:type="dxa" w:w="2492"/>
          </w:tcPr>
          <w:p>
            <w:pPr>
              <w:pStyle w:val="null3"/>
            </w:pPr>
            <w:r>
              <w:rPr>
                <w:rFonts w:ascii="仿宋_GB2312" w:hAnsi="仿宋_GB2312" w:cs="仿宋_GB2312" w:eastAsia="仿宋_GB2312"/>
              </w:rPr>
              <w:t>①投入计划结合项目实际且充足可行得6分； ②投入计划结合项目实际，较为充足可行得4分； ③投入计划结合项目实际，不够充足可行得2分； ④不响应或缺项得0分。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施工进度表或施工网络图</w:t>
            </w:r>
          </w:p>
        </w:tc>
        <w:tc>
          <w:tcPr>
            <w:tcW w:type="dxa" w:w="2492"/>
          </w:tcPr>
          <w:p>
            <w:pPr>
              <w:pStyle w:val="null3"/>
            </w:pPr>
            <w:r>
              <w:rPr>
                <w:rFonts w:ascii="仿宋_GB2312" w:hAnsi="仿宋_GB2312" w:cs="仿宋_GB2312" w:eastAsia="仿宋_GB2312"/>
              </w:rPr>
              <w:t>①施工进度结合项目实际且充足可行得6分； ②施工进度结合项目实际，较为充足可行得4分； ③施工进度结合项目实际，不够充足可行得2分； ④不响应或缺项得0分。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劳动力安排计划</w:t>
            </w:r>
          </w:p>
        </w:tc>
        <w:tc>
          <w:tcPr>
            <w:tcW w:type="dxa" w:w="2492"/>
          </w:tcPr>
          <w:p>
            <w:pPr>
              <w:pStyle w:val="null3"/>
            </w:pPr>
            <w:r>
              <w:rPr>
                <w:rFonts w:ascii="仿宋_GB2312" w:hAnsi="仿宋_GB2312" w:cs="仿宋_GB2312" w:eastAsia="仿宋_GB2312"/>
              </w:rPr>
              <w:t>①劳动力安排计划结合项目实际且充足可行得6分； ②劳动力安排计划结合项目实际，较为充足可行得4分； ③劳动力安排计划结合项目实际，不够充足可行得2分； ④不响应或缺项得0分。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施工总平面布置</w:t>
            </w:r>
          </w:p>
        </w:tc>
        <w:tc>
          <w:tcPr>
            <w:tcW w:type="dxa" w:w="2492"/>
          </w:tcPr>
          <w:p>
            <w:pPr>
              <w:pStyle w:val="null3"/>
            </w:pPr>
            <w:r>
              <w:rPr>
                <w:rFonts w:ascii="仿宋_GB2312" w:hAnsi="仿宋_GB2312" w:cs="仿宋_GB2312" w:eastAsia="仿宋_GB2312"/>
              </w:rPr>
              <w:t>①施工平面布置结合项目实际且充足可行得6分； ②施工平面布置结合项目实际，较为充足可行得4分； ③施工平面布置结合项目实际，不够充足可行得2分； ④不响应或缺项得0分。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科研成果</w:t>
            </w:r>
          </w:p>
        </w:tc>
        <w:tc>
          <w:tcPr>
            <w:tcW w:type="dxa" w:w="2492"/>
          </w:tcPr>
          <w:p>
            <w:pPr>
              <w:pStyle w:val="null3"/>
            </w:pPr>
            <w:r>
              <w:rPr>
                <w:rFonts w:ascii="仿宋_GB2312" w:hAnsi="仿宋_GB2312" w:cs="仿宋_GB2312" w:eastAsia="仿宋_GB2312"/>
              </w:rPr>
              <w:t>①供应商或其拟派项目成员有公开发表的与文物保护工程相关著作（有CN刊号）或论文成果（有ISBN书号），提供刊物的封面、扉页、目录及发表成果页，加盖公章，每提供1份得1分，满分3分； ②提供不全或不提供得0分。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施工组织设计.docx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满足竞争性磋商文件要求的最终报价最低价作为评标基准价，其价格为满分。其他供应商的报价得分按下列公式计算：报价得分=（评标基准价／磋商报价）×30。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磋商报价表.docx</w:t>
            </w:r>
          </w:p>
          <w:p>
            <w:pPr>
              <w:pStyle w:val="null3"/>
            </w:pPr>
            <w:r>
              <w:rPr>
                <w:rFonts w:ascii="仿宋_GB2312" w:hAnsi="仿宋_GB2312" w:cs="仿宋_GB2312" w:eastAsia="仿宋_GB2312"/>
              </w:rPr>
              <w:t>已标价工程量清单</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详见附件：磋商报价表.docx</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详见附件：供应商应提交的资格证明文件.docx</w:t>
      </w:r>
    </w:p>
    <w:p>
      <w:pPr>
        <w:pStyle w:val="null3"/>
        <w:ind w:firstLine="960"/>
      </w:pPr>
      <w:r>
        <w:rPr>
          <w:rFonts w:ascii="仿宋_GB2312" w:hAnsi="仿宋_GB2312" w:cs="仿宋_GB2312" w:eastAsia="仿宋_GB2312"/>
        </w:rPr>
        <w:t>详见附件：施工组织设计.docx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详见附件：施工合同文本.docx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