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68F372"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overflowPunct/>
        <w:topLinePunct w:val="0"/>
        <w:bidi w:val="0"/>
        <w:adjustRightInd w:val="0"/>
        <w:snapToGrid w:val="0"/>
        <w:spacing w:after="0" w:line="360" w:lineRule="auto"/>
        <w:ind w:left="0" w:leftChars="0" w:right="0" w:rightChars="0" w:firstLine="0" w:firstLineChars="0"/>
        <w:jc w:val="center"/>
        <w:textAlignment w:val="auto"/>
        <w:rPr>
          <w:rFonts w:hint="eastAsia" w:ascii="宋体" w:hAnsi="宋体" w:cs="宋体"/>
          <w:b/>
          <w:bCs/>
          <w:kern w:val="2"/>
          <w:sz w:val="56"/>
          <w:szCs w:val="56"/>
          <w:lang w:val="en-US" w:eastAsia="zh-CN" w:bidi="ar-SA"/>
        </w:rPr>
      </w:pPr>
    </w:p>
    <w:p w14:paraId="7D26A9E2"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overflowPunct/>
        <w:topLinePunct w:val="0"/>
        <w:bidi w:val="0"/>
        <w:adjustRightInd w:val="0"/>
        <w:snapToGrid w:val="0"/>
        <w:spacing w:after="0" w:line="360" w:lineRule="auto"/>
        <w:ind w:left="0" w:leftChars="0" w:right="0" w:rightChars="0" w:firstLine="0" w:firstLineChars="0"/>
        <w:jc w:val="center"/>
        <w:textAlignment w:val="auto"/>
        <w:rPr>
          <w:rFonts w:hint="eastAsia" w:ascii="宋体" w:hAnsi="宋体" w:cs="宋体"/>
          <w:b/>
          <w:bCs/>
          <w:kern w:val="2"/>
          <w:sz w:val="56"/>
          <w:szCs w:val="56"/>
          <w:lang w:val="en-US" w:eastAsia="zh-CN" w:bidi="ar-SA"/>
        </w:rPr>
      </w:pPr>
    </w:p>
    <w:p w14:paraId="0E706458"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overflowPunct/>
        <w:topLinePunct w:val="0"/>
        <w:bidi w:val="0"/>
        <w:adjustRightInd w:val="0"/>
        <w:snapToGrid w:val="0"/>
        <w:spacing w:after="0" w:line="360" w:lineRule="auto"/>
        <w:ind w:left="0" w:leftChars="0" w:right="0" w:rightChars="0"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kern w:val="2"/>
          <w:sz w:val="40"/>
          <w:szCs w:val="40"/>
          <w:lang w:val="en-US" w:eastAsia="zh-CN" w:bidi="ar-SA"/>
        </w:rPr>
      </w:pPr>
      <w:r>
        <w:rPr>
          <w:rFonts w:hint="eastAsia" w:ascii="宋体" w:hAnsi="宋体" w:cs="宋体"/>
          <w:b/>
          <w:bCs/>
          <w:kern w:val="2"/>
          <w:sz w:val="56"/>
          <w:szCs w:val="56"/>
          <w:lang w:val="en-US" w:eastAsia="zh-CN" w:bidi="ar-SA"/>
        </w:rPr>
        <w:t>建设工程</w:t>
      </w:r>
      <w:r>
        <w:rPr>
          <w:rFonts w:hint="eastAsia" w:ascii="宋体" w:hAnsi="宋体" w:eastAsia="宋体" w:cs="宋体"/>
          <w:b/>
          <w:bCs/>
          <w:kern w:val="2"/>
          <w:sz w:val="56"/>
          <w:szCs w:val="56"/>
          <w:lang w:val="en-US" w:eastAsia="zh-CN" w:bidi="ar-SA"/>
        </w:rPr>
        <w:t>施工合同</w:t>
      </w:r>
    </w:p>
    <w:p w14:paraId="6C63F631"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overflowPunct/>
        <w:topLinePunct w:val="0"/>
        <w:bidi w:val="0"/>
        <w:adjustRightInd w:val="0"/>
        <w:snapToGrid w:val="0"/>
        <w:spacing w:after="0" w:line="360" w:lineRule="auto"/>
        <w:ind w:left="0" w:leftChars="0" w:right="0" w:rightChars="0" w:firstLine="0" w:firstLineChars="0"/>
        <w:jc w:val="center"/>
        <w:textAlignment w:val="auto"/>
        <w:rPr>
          <w:rFonts w:hint="eastAsia" w:ascii="宋体" w:hAnsi="宋体" w:cs="宋体"/>
          <w:b/>
          <w:bCs/>
          <w:kern w:val="2"/>
          <w:sz w:val="40"/>
          <w:szCs w:val="40"/>
          <w:lang w:val="en-US" w:eastAsia="zh-CN" w:bidi="ar-SA"/>
        </w:rPr>
      </w:pPr>
      <w:r>
        <w:rPr>
          <w:rFonts w:hint="eastAsia" w:ascii="宋体" w:hAnsi="宋体" w:cs="宋体"/>
          <w:b/>
          <w:bCs/>
          <w:kern w:val="2"/>
          <w:sz w:val="40"/>
          <w:szCs w:val="40"/>
          <w:lang w:val="en-US" w:eastAsia="zh-CN" w:bidi="ar-SA"/>
        </w:rPr>
        <w:t>（示范文本）</w:t>
      </w:r>
    </w:p>
    <w:p w14:paraId="4DC7E092"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overflowPunct/>
        <w:topLinePunct w:val="0"/>
        <w:bidi w:val="0"/>
        <w:adjustRightInd w:val="0"/>
        <w:snapToGrid w:val="0"/>
        <w:spacing w:after="0" w:line="360" w:lineRule="auto"/>
        <w:ind w:left="0" w:leftChars="0" w:right="0" w:rightChars="0" w:firstLine="0" w:firstLineChars="0"/>
        <w:jc w:val="center"/>
        <w:textAlignment w:val="auto"/>
        <w:rPr>
          <w:rFonts w:hint="eastAsia" w:ascii="宋体" w:hAnsi="宋体" w:cs="宋体"/>
          <w:b/>
          <w:bCs/>
          <w:kern w:val="2"/>
          <w:sz w:val="40"/>
          <w:szCs w:val="40"/>
          <w:lang w:val="en-US" w:eastAsia="zh-CN" w:bidi="ar-SA"/>
        </w:rPr>
      </w:pPr>
    </w:p>
    <w:p w14:paraId="5B30580A"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overflowPunct/>
        <w:topLinePunct w:val="0"/>
        <w:bidi w:val="0"/>
        <w:adjustRightInd w:val="0"/>
        <w:snapToGrid w:val="0"/>
        <w:spacing w:after="0" w:line="360" w:lineRule="auto"/>
        <w:ind w:left="0" w:leftChars="0" w:right="0" w:rightChars="0" w:firstLine="0" w:firstLineChars="0"/>
        <w:jc w:val="center"/>
        <w:textAlignment w:val="auto"/>
        <w:rPr>
          <w:rFonts w:hint="eastAsia" w:ascii="宋体" w:hAnsi="宋体" w:cs="宋体"/>
          <w:b/>
          <w:bCs/>
          <w:kern w:val="2"/>
          <w:sz w:val="40"/>
          <w:szCs w:val="40"/>
          <w:lang w:val="en-US" w:eastAsia="zh-CN" w:bidi="ar-SA"/>
        </w:rPr>
      </w:pPr>
    </w:p>
    <w:p w14:paraId="0DBCF9BC"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overflowPunct/>
        <w:topLinePunct w:val="0"/>
        <w:bidi w:val="0"/>
        <w:adjustRightInd w:val="0"/>
        <w:snapToGrid w:val="0"/>
        <w:spacing w:after="0" w:line="360" w:lineRule="auto"/>
        <w:ind w:left="0" w:leftChars="0" w:right="0" w:rightChars="0" w:firstLine="0" w:firstLineChars="0"/>
        <w:jc w:val="center"/>
        <w:textAlignment w:val="auto"/>
        <w:rPr>
          <w:rFonts w:hint="eastAsia" w:ascii="宋体" w:hAnsi="宋体" w:cs="宋体"/>
          <w:b/>
          <w:bCs/>
          <w:kern w:val="2"/>
          <w:sz w:val="40"/>
          <w:szCs w:val="40"/>
          <w:lang w:val="en-US" w:eastAsia="zh-CN" w:bidi="ar-SA"/>
        </w:rPr>
      </w:pPr>
    </w:p>
    <w:p w14:paraId="570FDF63"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overflowPunct/>
        <w:topLinePunct w:val="0"/>
        <w:bidi w:val="0"/>
        <w:adjustRightInd w:val="0"/>
        <w:snapToGrid w:val="0"/>
        <w:spacing w:after="0" w:line="360" w:lineRule="auto"/>
        <w:ind w:left="0" w:leftChars="0" w:right="0" w:rightChars="0" w:firstLine="0" w:firstLineChars="0"/>
        <w:jc w:val="center"/>
        <w:textAlignment w:val="auto"/>
        <w:rPr>
          <w:rFonts w:hint="eastAsia" w:ascii="宋体" w:hAnsi="宋体" w:cs="宋体"/>
          <w:b/>
          <w:bCs/>
          <w:kern w:val="2"/>
          <w:sz w:val="40"/>
          <w:szCs w:val="40"/>
          <w:lang w:val="en-US" w:eastAsia="zh-CN" w:bidi="ar-SA"/>
        </w:rPr>
      </w:pPr>
    </w:p>
    <w:p w14:paraId="269441F2"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overflowPunct/>
        <w:topLinePunct w:val="0"/>
        <w:bidi w:val="0"/>
        <w:adjustRightInd w:val="0"/>
        <w:snapToGrid w:val="0"/>
        <w:spacing w:after="0" w:line="360" w:lineRule="auto"/>
        <w:ind w:left="0" w:leftChars="0" w:right="0" w:rightChars="0" w:firstLine="0" w:firstLineChars="0"/>
        <w:jc w:val="center"/>
        <w:textAlignment w:val="auto"/>
        <w:rPr>
          <w:rFonts w:hint="eastAsia" w:ascii="宋体" w:hAnsi="宋体" w:cs="宋体"/>
          <w:b/>
          <w:bCs/>
          <w:kern w:val="2"/>
          <w:sz w:val="40"/>
          <w:szCs w:val="40"/>
          <w:lang w:val="en-US" w:eastAsia="zh-CN" w:bidi="ar-SA"/>
        </w:rPr>
      </w:pPr>
    </w:p>
    <w:p w14:paraId="20D4BE0A"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overflowPunct/>
        <w:topLinePunct w:val="0"/>
        <w:bidi w:val="0"/>
        <w:adjustRightInd w:val="0"/>
        <w:snapToGrid w:val="0"/>
        <w:spacing w:after="0" w:line="360" w:lineRule="auto"/>
        <w:ind w:left="0" w:leftChars="0" w:right="0" w:rightChars="0" w:firstLine="0" w:firstLineChars="0"/>
        <w:jc w:val="center"/>
        <w:textAlignment w:val="auto"/>
        <w:rPr>
          <w:rFonts w:hint="eastAsia" w:ascii="宋体" w:hAnsi="宋体" w:cs="宋体"/>
          <w:b/>
          <w:bCs/>
          <w:kern w:val="2"/>
          <w:sz w:val="40"/>
          <w:szCs w:val="40"/>
          <w:lang w:val="en-US" w:eastAsia="zh-CN" w:bidi="ar-SA"/>
        </w:rPr>
      </w:pPr>
    </w:p>
    <w:p w14:paraId="20A76372"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overflowPunct/>
        <w:topLinePunct w:val="0"/>
        <w:bidi w:val="0"/>
        <w:adjustRightInd w:val="0"/>
        <w:snapToGrid w:val="0"/>
        <w:spacing w:after="0" w:line="360" w:lineRule="auto"/>
        <w:ind w:left="0" w:leftChars="0" w:right="0" w:rightChars="0" w:firstLine="0" w:firstLineChars="0"/>
        <w:jc w:val="center"/>
        <w:textAlignment w:val="auto"/>
        <w:rPr>
          <w:rFonts w:hint="eastAsia" w:ascii="宋体" w:hAnsi="宋体" w:cs="宋体"/>
          <w:b/>
          <w:bCs/>
          <w:kern w:val="2"/>
          <w:sz w:val="40"/>
          <w:szCs w:val="40"/>
          <w:lang w:val="en-US" w:eastAsia="zh-CN" w:bidi="ar-SA"/>
        </w:rPr>
      </w:pPr>
    </w:p>
    <w:p w14:paraId="40754EF4"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overflowPunct/>
        <w:topLinePunct w:val="0"/>
        <w:bidi w:val="0"/>
        <w:adjustRightInd w:val="0"/>
        <w:snapToGrid w:val="0"/>
        <w:spacing w:after="0" w:line="360" w:lineRule="auto"/>
        <w:ind w:left="0" w:leftChars="0" w:right="0" w:rightChars="0" w:firstLine="0" w:firstLineChars="0"/>
        <w:jc w:val="both"/>
        <w:textAlignment w:val="auto"/>
        <w:rPr>
          <w:rFonts w:hint="eastAsia" w:ascii="宋体" w:hAnsi="宋体" w:cs="宋体"/>
          <w:b/>
          <w:bCs/>
          <w:kern w:val="2"/>
          <w:sz w:val="40"/>
          <w:szCs w:val="40"/>
          <w:lang w:val="en-US" w:eastAsia="zh-CN" w:bidi="ar-SA"/>
        </w:r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82"/>
        <w:gridCol w:w="1613"/>
      </w:tblGrid>
      <w:tr w14:paraId="70F5E9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39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CBB60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 w:rightChars="0" w:firstLine="0" w:firstLineChars="0"/>
              <w:jc w:val="distribute"/>
              <w:textAlignment w:val="auto"/>
              <w:rPr>
                <w:rFonts w:hint="eastAsia" w:ascii="宋体" w:hAnsi="宋体" w:cs="宋体"/>
                <w:b/>
                <w:bCs/>
                <w:kern w:val="2"/>
                <w:sz w:val="36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kern w:val="2"/>
                <w:sz w:val="36"/>
                <w:szCs w:val="36"/>
                <w:lang w:val="en-US" w:eastAsia="zh-CN" w:bidi="ar-SA"/>
              </w:rPr>
              <w:t>住房城乡建设部</w:t>
            </w:r>
          </w:p>
        </w:tc>
        <w:tc>
          <w:tcPr>
            <w:tcW w:w="1613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F1B4D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right="0" w:rightChars="0"/>
              <w:jc w:val="distribute"/>
              <w:textAlignment w:val="auto"/>
              <w:rPr>
                <w:rFonts w:hint="eastAsia" w:ascii="宋体" w:hAnsi="宋体" w:cs="宋体"/>
                <w:b/>
                <w:bCs/>
                <w:kern w:val="2"/>
                <w:sz w:val="36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kern w:val="2"/>
                <w:sz w:val="36"/>
                <w:szCs w:val="36"/>
                <w:vertAlign w:val="baseline"/>
                <w:lang w:val="en-US" w:eastAsia="zh-CN" w:bidi="ar-SA"/>
              </w:rPr>
              <w:t>制定</w:t>
            </w:r>
          </w:p>
        </w:tc>
      </w:tr>
      <w:tr w14:paraId="0B1672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39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5941A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 w:rightChars="0" w:firstLine="0" w:firstLineChars="0"/>
              <w:jc w:val="distribute"/>
              <w:textAlignment w:val="auto"/>
              <w:rPr>
                <w:rFonts w:hint="eastAsia" w:ascii="宋体" w:hAnsi="宋体" w:cs="宋体"/>
                <w:b/>
                <w:bCs/>
                <w:kern w:val="2"/>
                <w:sz w:val="36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kern w:val="2"/>
                <w:sz w:val="36"/>
                <w:szCs w:val="36"/>
                <w:lang w:val="en-US" w:eastAsia="zh-CN" w:bidi="ar-SA"/>
              </w:rPr>
              <w:t>国家工商行政管理总局</w:t>
            </w:r>
          </w:p>
        </w:tc>
        <w:tc>
          <w:tcPr>
            <w:tcW w:w="1613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71AE5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right="0" w:rightChars="0"/>
              <w:jc w:val="distribute"/>
              <w:textAlignment w:val="auto"/>
              <w:rPr>
                <w:rFonts w:hint="eastAsia" w:ascii="宋体" w:hAnsi="宋体" w:cs="宋体"/>
                <w:b/>
                <w:bCs/>
                <w:kern w:val="2"/>
                <w:sz w:val="36"/>
                <w:szCs w:val="36"/>
                <w:vertAlign w:val="baseline"/>
                <w:lang w:val="en-US" w:eastAsia="zh-CN" w:bidi="ar-SA"/>
              </w:rPr>
            </w:pPr>
          </w:p>
        </w:tc>
      </w:tr>
    </w:tbl>
    <w:p w14:paraId="64A0196F"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overflowPunct/>
        <w:topLinePunct w:val="0"/>
        <w:bidi w:val="0"/>
        <w:adjustRightInd w:val="0"/>
        <w:snapToGrid w:val="0"/>
        <w:spacing w:after="0" w:line="360" w:lineRule="auto"/>
        <w:ind w:left="0" w:leftChars="0" w:right="0" w:rightChars="0" w:firstLine="0" w:firstLineChars="0"/>
        <w:jc w:val="both"/>
        <w:textAlignment w:val="auto"/>
        <w:rPr>
          <w:rFonts w:hint="eastAsia" w:ascii="宋体" w:hAnsi="宋体" w:cs="宋体"/>
          <w:b/>
          <w:bCs/>
          <w:kern w:val="2"/>
          <w:sz w:val="36"/>
          <w:szCs w:val="36"/>
          <w:lang w:val="en-US" w:eastAsia="zh-CN" w:bidi="ar-SA"/>
        </w:rPr>
      </w:pPr>
    </w:p>
    <w:p w14:paraId="53C3AB8C">
      <w:pPr>
        <w:keepNext w:val="0"/>
        <w:keepLines w:val="0"/>
        <w:pageBreakBefore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0" w:rightChars="0" w:firstLine="0" w:firstLineChars="0"/>
        <w:jc w:val="center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合同协议书</w:t>
      </w:r>
    </w:p>
    <w:p w14:paraId="78F7E4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  <w:t>甲方：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  <w:lang w:val="en-US" w:eastAsia="zh-CN" w:bidi="ar-SA"/>
        </w:rPr>
        <w:t xml:space="preserve">                         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  <w:t xml:space="preserve">      </w:t>
      </w:r>
    </w:p>
    <w:p w14:paraId="2F1867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  <w:t>乙方：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  <w:lang w:val="en-US" w:eastAsia="zh-CN" w:bidi="ar-SA"/>
        </w:rPr>
        <w:t xml:space="preserve">                                </w:t>
      </w:r>
    </w:p>
    <w:p w14:paraId="22DA7B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  <w:t>根据《中华人民共和国民法典》《中华人民共和国建筑法》及有关法律规定，遵循平等、自愿、公平和诚实信用的原则，双方就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  <w:lang w:val="en-US" w:eastAsia="zh-CN" w:bidi="ar-SA"/>
        </w:rPr>
        <w:t xml:space="preserve">       （项目名称）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none"/>
          <w:lang w:val="en-US" w:eastAsia="zh-CN" w:bidi="ar-SA"/>
        </w:rPr>
        <w:t>工程施工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  <w:t>及有关事项协商一致，共同达成如下协议：</w:t>
      </w:r>
    </w:p>
    <w:p w14:paraId="08B5FF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/>
        <w:jc w:val="both"/>
        <w:textAlignment w:val="auto"/>
        <w:outlineLvl w:val="1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</w:pPr>
      <w:bookmarkStart w:id="0" w:name="_Toc27153"/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一、工程概况</w:t>
      </w:r>
      <w:bookmarkEnd w:id="0"/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 xml:space="preserve"> </w:t>
      </w:r>
    </w:p>
    <w:p w14:paraId="2F47AF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  <w:t>1.工程名称：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  <w:lang w:val="en-US" w:eastAsia="zh-CN" w:bidi="ar-SA"/>
        </w:rPr>
        <w:t xml:space="preserve">                               </w:t>
      </w:r>
    </w:p>
    <w:p w14:paraId="34CB9E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  <w:t>2.工程地点：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  <w:lang w:val="en-US" w:eastAsia="zh-CN" w:bidi="ar-SA"/>
        </w:rPr>
        <w:t xml:space="preserve">                               </w:t>
      </w:r>
    </w:p>
    <w:p w14:paraId="43CB9D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0" w:firstLineChars="200"/>
        <w:jc w:val="both"/>
        <w:textAlignment w:val="auto"/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u w:val="singl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none"/>
          <w:lang w:val="en-US" w:eastAsia="zh-CN" w:bidi="ar-SA"/>
        </w:rPr>
        <w:t>3.工程内容：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  <w:lang w:val="en-US" w:eastAsia="zh-CN" w:bidi="ar-SA"/>
        </w:rPr>
        <w:t xml:space="preserve">                               </w:t>
      </w:r>
    </w:p>
    <w:p w14:paraId="0B5BD0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0" w:firstLineChars="200"/>
        <w:jc w:val="both"/>
        <w:textAlignment w:val="auto"/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u w:val="singl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none"/>
          <w:lang w:val="en-US" w:eastAsia="zh-CN" w:bidi="ar-SA"/>
        </w:rPr>
        <w:t>4.工程承包范围：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  <w:lang w:val="en-US" w:eastAsia="zh-CN" w:bidi="ar-SA"/>
        </w:rPr>
        <w:t xml:space="preserve">                           </w:t>
      </w:r>
    </w:p>
    <w:p w14:paraId="02DA10C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/>
        <w:jc w:val="both"/>
        <w:textAlignment w:val="auto"/>
        <w:outlineLvl w:val="1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</w:pPr>
      <w:bookmarkStart w:id="1" w:name="_Toc15779"/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二</w:t>
      </w:r>
      <w:bookmarkEnd w:id="1"/>
      <w:bookmarkStart w:id="2" w:name="_Toc18991"/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、</w:t>
      </w:r>
      <w:bookmarkEnd w:id="2"/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合同工期</w:t>
      </w:r>
    </w:p>
    <w:p w14:paraId="7BAC37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  <w:t>计划开工日期：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u w:val="single"/>
          <w:lang w:val="en-US" w:eastAsia="zh-CN" w:bidi="ar-SA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  <w:t>年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u w:val="single"/>
          <w:lang w:val="en-US" w:eastAsia="zh-CN" w:bidi="ar-SA"/>
        </w:rPr>
        <w:t xml:space="preserve">      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  <w:t>月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u w:val="single"/>
          <w:lang w:val="en-US" w:eastAsia="zh-CN" w:bidi="ar-SA"/>
        </w:rPr>
        <w:t xml:space="preserve">      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  <w:t>日</w:t>
      </w:r>
    </w:p>
    <w:p w14:paraId="7D796E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  <w:t>计划竣工日期：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u w:val="single"/>
          <w:lang w:val="en-US" w:eastAsia="zh-CN" w:bidi="ar-SA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  <w:t>年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u w:val="single"/>
          <w:lang w:val="en-US" w:eastAsia="zh-CN" w:bidi="ar-SA"/>
        </w:rPr>
        <w:t xml:space="preserve">      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  <w:t>月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u w:val="single"/>
          <w:lang w:val="en-US" w:eastAsia="zh-CN" w:bidi="ar-SA"/>
        </w:rPr>
        <w:t xml:space="preserve">      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  <w:t>日</w:t>
      </w:r>
    </w:p>
    <w:p w14:paraId="440C4D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rFonts w:hint="default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u w:val="singl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  <w:t>总工期：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u w:val="single"/>
          <w:lang w:val="en-US" w:eastAsia="zh-CN" w:bidi="ar-SA"/>
        </w:rPr>
        <w:t xml:space="preserve">         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u w:val="none"/>
          <w:lang w:val="en-US" w:eastAsia="zh-CN" w:bidi="ar-SA"/>
        </w:rPr>
        <w:t>日历天。（工期总日历天数与计划开竣工日期计算天数不一致时，以总工期天数为准。）</w:t>
      </w:r>
    </w:p>
    <w:p w14:paraId="2D52A09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/>
        <w:jc w:val="both"/>
        <w:textAlignment w:val="auto"/>
        <w:outlineLvl w:val="1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</w:pPr>
      <w:bookmarkStart w:id="3" w:name="_Toc23220"/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三、承包方式</w:t>
      </w:r>
      <w:bookmarkEnd w:id="3"/>
    </w:p>
    <w:p w14:paraId="1F8FF0D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right="0" w:rightChars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  <w:t>包工包料，合同总价一次性包死。</w:t>
      </w:r>
    </w:p>
    <w:p w14:paraId="778A9F8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right="0" w:rightChars="0"/>
        <w:jc w:val="both"/>
        <w:textAlignment w:val="auto"/>
        <w:outlineLvl w:val="1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</w:pPr>
      <w:bookmarkStart w:id="4" w:name="_Toc25304"/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四、工程质量</w:t>
      </w:r>
      <w:bookmarkEnd w:id="4"/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 xml:space="preserve"> </w:t>
      </w:r>
    </w:p>
    <w:p w14:paraId="740037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  <w:t xml:space="preserve">工程验收标准执行国家现有的有关规范及标准，本工程质量要求为合格。 </w:t>
      </w:r>
    </w:p>
    <w:p w14:paraId="3617ADA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right="0" w:rightChars="0"/>
        <w:jc w:val="both"/>
        <w:textAlignment w:val="auto"/>
        <w:outlineLvl w:val="1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</w:pPr>
      <w:bookmarkStart w:id="5" w:name="_Toc18623"/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五、合同价款</w:t>
      </w:r>
      <w:bookmarkEnd w:id="5"/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 xml:space="preserve"> </w:t>
      </w:r>
    </w:p>
    <w:p w14:paraId="43AA22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  <w:t>合同价：总价（大写）：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  <w:lang w:val="en-US" w:eastAsia="zh-CN" w:bidi="ar-SA"/>
        </w:rPr>
        <w:t xml:space="preserve">              </w:t>
      </w:r>
      <w:r>
        <w:rPr>
          <w:rFonts w:hint="eastAsia" w:cs="宋体"/>
          <w:color w:val="auto"/>
          <w:kern w:val="0"/>
          <w:sz w:val="24"/>
          <w:szCs w:val="24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  <w:t>（￥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  <w:lang w:val="en-US" w:eastAsia="zh-CN" w:bidi="ar-SA"/>
        </w:rPr>
        <w:t xml:space="preserve">                  元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  <w:t xml:space="preserve">） </w:t>
      </w:r>
    </w:p>
    <w:p w14:paraId="4466021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right="0" w:rightChars="0"/>
        <w:jc w:val="both"/>
        <w:textAlignment w:val="auto"/>
        <w:outlineLvl w:val="1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</w:pPr>
      <w:bookmarkStart w:id="6" w:name="_Toc22976"/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六、付款方式</w:t>
      </w:r>
      <w:bookmarkEnd w:id="6"/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 xml:space="preserve"> </w:t>
      </w:r>
    </w:p>
    <w:p w14:paraId="5A4E5D6E">
      <w:pPr>
        <w:keepNext w:val="0"/>
        <w:keepLines w:val="0"/>
        <w:pageBreakBefore w:val="0"/>
        <w:widowControl w:val="0"/>
        <w:tabs>
          <w:tab w:val="left" w:pos="766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</w:pPr>
      <w:bookmarkStart w:id="7" w:name="_Toc25999"/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  <w:t>1.结算单位：采购人结算，在付款前，成交供应商必须开具全额增值税专用发票给采购人。</w:t>
      </w:r>
    </w:p>
    <w:p w14:paraId="76F47395">
      <w:pPr>
        <w:keepNext w:val="0"/>
        <w:keepLines w:val="0"/>
        <w:pageBreakBefore w:val="0"/>
        <w:widowControl w:val="0"/>
        <w:tabs>
          <w:tab w:val="left" w:pos="766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  <w:t>2.付款方式：</w:t>
      </w:r>
    </w:p>
    <w:p w14:paraId="4A992571">
      <w:pPr>
        <w:keepNext w:val="0"/>
        <w:keepLines w:val="0"/>
        <w:pageBreakBefore w:val="0"/>
        <w:widowControl w:val="0"/>
        <w:tabs>
          <w:tab w:val="left" w:pos="766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  <w:t>合同签订后，达到付款条件起</w:t>
      </w:r>
      <w:r>
        <w:rPr>
          <w:rFonts w:hint="eastAsia" w:cs="宋体"/>
          <w:color w:val="auto"/>
          <w:kern w:val="0"/>
          <w:sz w:val="24"/>
          <w:szCs w:val="24"/>
          <w:highlight w:val="none"/>
          <w:lang w:val="en-US" w:eastAsia="zh-CN" w:bidi="ar-SA"/>
        </w:rPr>
        <w:t>7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  <w:t>日内采购人支付合同总金额的</w:t>
      </w:r>
      <w:r>
        <w:rPr>
          <w:rFonts w:hint="eastAsia" w:cs="宋体"/>
          <w:color w:val="auto"/>
          <w:kern w:val="0"/>
          <w:sz w:val="24"/>
          <w:szCs w:val="24"/>
          <w:highlight w:val="none"/>
          <w:lang w:val="en-US" w:eastAsia="zh-CN" w:bidi="ar-SA"/>
        </w:rPr>
        <w:t>4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  <w:t>0%(含安全文明施工费)作为预付款,本工程竣工验收完成后，达到付款条件起7日内，支付合同总金额的</w:t>
      </w:r>
      <w:r>
        <w:rPr>
          <w:rFonts w:hint="eastAsia" w:cs="宋体"/>
          <w:color w:val="auto"/>
          <w:kern w:val="0"/>
          <w:sz w:val="24"/>
          <w:szCs w:val="24"/>
          <w:highlight w:val="none"/>
          <w:lang w:val="en-US" w:eastAsia="zh-CN" w:bidi="ar-SA"/>
        </w:rPr>
        <w:t>4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  <w:t>0%，决算审计完成后，达到付款条件起</w:t>
      </w:r>
      <w:r>
        <w:rPr>
          <w:rFonts w:hint="eastAsia" w:cs="宋体"/>
          <w:color w:val="auto"/>
          <w:kern w:val="0"/>
          <w:sz w:val="24"/>
          <w:szCs w:val="24"/>
          <w:highlight w:val="none"/>
          <w:lang w:val="en-US" w:eastAsia="zh-CN" w:bidi="ar-SA"/>
        </w:rPr>
        <w:t>7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  <w:t>日内，支付合同总金额的20%。</w:t>
      </w:r>
    </w:p>
    <w:p w14:paraId="596EF6AA">
      <w:pPr>
        <w:keepNext w:val="0"/>
        <w:keepLines w:val="0"/>
        <w:pageBreakBefore w:val="0"/>
        <w:widowControl w:val="0"/>
        <w:tabs>
          <w:tab w:val="left" w:pos="766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  <w:t>七、合同构成</w:t>
      </w:r>
    </w:p>
    <w:p w14:paraId="401AF36C">
      <w:pPr>
        <w:keepNext w:val="0"/>
        <w:keepLines w:val="0"/>
        <w:pageBreakBefore w:val="0"/>
        <w:widowControl w:val="0"/>
        <w:tabs>
          <w:tab w:val="left" w:pos="766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  <w:t>本协议书与下列文件一起构成合同文件：</w:t>
      </w:r>
    </w:p>
    <w:p w14:paraId="12072CBB">
      <w:pPr>
        <w:keepNext w:val="0"/>
        <w:keepLines w:val="0"/>
        <w:pageBreakBefore w:val="0"/>
        <w:widowControl w:val="0"/>
        <w:tabs>
          <w:tab w:val="left" w:pos="766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  <w:t>（1）中标通知书（如有）；</w:t>
      </w:r>
    </w:p>
    <w:p w14:paraId="63897868">
      <w:pPr>
        <w:keepNext w:val="0"/>
        <w:keepLines w:val="0"/>
        <w:pageBreakBefore w:val="0"/>
        <w:widowControl w:val="0"/>
        <w:tabs>
          <w:tab w:val="left" w:pos="766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  <w:t>（2）投标函及其附录（如有）；</w:t>
      </w:r>
    </w:p>
    <w:p w14:paraId="19C67636">
      <w:pPr>
        <w:keepNext w:val="0"/>
        <w:keepLines w:val="0"/>
        <w:pageBreakBefore w:val="0"/>
        <w:widowControl w:val="0"/>
        <w:tabs>
          <w:tab w:val="left" w:pos="766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  <w:t>（3）专用合同条款；</w:t>
      </w:r>
    </w:p>
    <w:p w14:paraId="225B7322">
      <w:pPr>
        <w:keepNext w:val="0"/>
        <w:keepLines w:val="0"/>
        <w:pageBreakBefore w:val="0"/>
        <w:widowControl w:val="0"/>
        <w:tabs>
          <w:tab w:val="left" w:pos="766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  <w:t>（4）通用合同条款；</w:t>
      </w:r>
    </w:p>
    <w:p w14:paraId="4F77A024">
      <w:pPr>
        <w:keepNext w:val="0"/>
        <w:keepLines w:val="0"/>
        <w:pageBreakBefore w:val="0"/>
        <w:widowControl w:val="0"/>
        <w:tabs>
          <w:tab w:val="left" w:pos="766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  <w:t>（5）技术标准及要求；</w:t>
      </w:r>
    </w:p>
    <w:p w14:paraId="736B476B">
      <w:pPr>
        <w:keepNext w:val="0"/>
        <w:keepLines w:val="0"/>
        <w:pageBreakBefore w:val="0"/>
        <w:widowControl w:val="0"/>
        <w:tabs>
          <w:tab w:val="left" w:pos="766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  <w:t>（6）图纸；</w:t>
      </w:r>
    </w:p>
    <w:p w14:paraId="0DED5FE0">
      <w:pPr>
        <w:keepNext w:val="0"/>
        <w:keepLines w:val="0"/>
        <w:pageBreakBefore w:val="0"/>
        <w:widowControl w:val="0"/>
        <w:tabs>
          <w:tab w:val="left" w:pos="766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  <w:t>（7）已标价工程量清单；</w:t>
      </w:r>
    </w:p>
    <w:p w14:paraId="70A89DFA">
      <w:pPr>
        <w:keepNext w:val="0"/>
        <w:keepLines w:val="0"/>
        <w:pageBreakBefore w:val="0"/>
        <w:widowControl w:val="0"/>
        <w:tabs>
          <w:tab w:val="left" w:pos="766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  <w:t>（8）其他合同文件。</w:t>
      </w:r>
    </w:p>
    <w:p w14:paraId="1D590A7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right="0" w:rightChars="0"/>
        <w:jc w:val="both"/>
        <w:textAlignment w:val="auto"/>
        <w:outlineLvl w:val="1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八、工程质量保修</w:t>
      </w:r>
      <w:bookmarkEnd w:id="7"/>
    </w:p>
    <w:p w14:paraId="08142AE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Hans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质量保修期：竣工验收合格之日起</w:t>
      </w:r>
      <w:r>
        <w:rPr>
          <w:rFonts w:hint="eastAsia" w:cs="宋体"/>
          <w:color w:val="auto"/>
          <w:sz w:val="24"/>
          <w:szCs w:val="24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年。</w:t>
      </w:r>
    </w:p>
    <w:p w14:paraId="442A22A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right="0" w:rightChars="0"/>
        <w:jc w:val="both"/>
        <w:textAlignment w:val="auto"/>
        <w:outlineLvl w:val="1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</w:pPr>
      <w:bookmarkStart w:id="8" w:name="_Toc12510"/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九、甲方责任</w:t>
      </w:r>
      <w:bookmarkEnd w:id="8"/>
    </w:p>
    <w:p w14:paraId="560E44B2">
      <w:pPr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1.甲方须向乙方做详细的现场交底。</w:t>
      </w:r>
    </w:p>
    <w:p w14:paraId="03B604FF">
      <w:pPr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2.协调施工中遇到的其他不可预见的各种问题。</w:t>
      </w:r>
    </w:p>
    <w:p w14:paraId="18A42BD5">
      <w:pPr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3.甲方不提供住宿及临设场地，由乙方自行解决。</w:t>
      </w:r>
    </w:p>
    <w:p w14:paraId="4442745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right="0" w:rightChars="0"/>
        <w:jc w:val="both"/>
        <w:textAlignment w:val="auto"/>
        <w:outlineLvl w:val="1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</w:pPr>
      <w:bookmarkStart w:id="9" w:name="_Toc16684"/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十、乙方责任</w:t>
      </w:r>
      <w:bookmarkEnd w:id="9"/>
    </w:p>
    <w:p w14:paraId="3BA16BE8">
      <w:pPr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1.乙方要严格按照甲方要求及施工验收规范进行施工。</w:t>
      </w:r>
    </w:p>
    <w:p w14:paraId="4435E88F">
      <w:pPr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2.乙方所用的施工人员须具备相关从业资格证，经甲方审核后方可上岗。</w:t>
      </w:r>
    </w:p>
    <w:p w14:paraId="6C1DFD9E">
      <w:pPr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3.保证施工现场整洁，交工前必须做到活完场净。施工现场乙方要根据工作需要，设置围栏，警示标志，夜间使用的照明设施。施工中发生的一切工伤事故，由乙方负责。</w:t>
      </w:r>
    </w:p>
    <w:p w14:paraId="4D10EDF7">
      <w:pPr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4.在修缮过程中应采用传统工艺和技术进行修缮，使用与古建筑原材料相符合的材料。</w:t>
      </w:r>
    </w:p>
    <w:p w14:paraId="76B33F7F">
      <w:pPr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0" w:firstLineChars="200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5.乙方负责施工垃圾清理外运工作，垃圾需装袋集中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  <w:t>堆放，并按规范做好围挡及覆盖，垃圾清运应做到日清日结。同时应采取有效措施保护施工现场的内外环境，使粉尘、噪音等指标符合环境保护要求，避免施工引起的环境问题造成人身或财产损害。</w:t>
      </w:r>
    </w:p>
    <w:p w14:paraId="2EE95BB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right="0" w:rightChars="0"/>
        <w:jc w:val="both"/>
        <w:textAlignment w:val="auto"/>
        <w:outlineLvl w:val="1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</w:pPr>
      <w:bookmarkStart w:id="10" w:name="_Toc15942"/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十一、工程工期的延误</w:t>
      </w:r>
      <w:bookmarkEnd w:id="10"/>
    </w:p>
    <w:p w14:paraId="14291748">
      <w:pPr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施工过程中，乙方出现下列情况的，工期相应顺延。</w:t>
      </w:r>
    </w:p>
    <w:p w14:paraId="683CC239">
      <w:pPr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1.不可抗力造成灾害影响正常施工的。</w:t>
      </w:r>
    </w:p>
    <w:p w14:paraId="343EC7FE">
      <w:pPr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2.甲方重大设计/计划变更。</w:t>
      </w:r>
    </w:p>
    <w:p w14:paraId="726F23BF">
      <w:pPr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3.其他非乙方原因造成的停工。</w:t>
      </w:r>
    </w:p>
    <w:p w14:paraId="38C747DC">
      <w:pPr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4.乙方在第十一条1款约定的情况发生后一日内，应就延期情况向甲方代表提出报告，甲方代表应于收到报告两日内予以确认、答复，逾期不予答复，视为延期要求已被确认。</w:t>
      </w:r>
    </w:p>
    <w:p w14:paraId="00ED1FA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right="0" w:rightChars="0"/>
        <w:jc w:val="both"/>
        <w:textAlignment w:val="auto"/>
        <w:outlineLvl w:val="1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</w:pPr>
      <w:bookmarkStart w:id="11" w:name="_Toc28380"/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十二、工程竣工及验收</w:t>
      </w:r>
      <w:bookmarkEnd w:id="11"/>
    </w:p>
    <w:p w14:paraId="155E5C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bookmarkStart w:id="12" w:name="_Toc3995"/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1.成交供应商向采购人提交项目实施过程中的所有资料。</w:t>
      </w:r>
    </w:p>
    <w:p w14:paraId="705D46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2.验收须以合同、磋商文件及磋商响应文件、澄清、及国家相应的标准、规范等为依据。</w:t>
      </w:r>
    </w:p>
    <w:p w14:paraId="5A6A6A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3.符合中华人民共和国国家和履约地相关安全质量标准、行业技术规范标准、环保节能标准；</w:t>
      </w:r>
    </w:p>
    <w:p w14:paraId="1672BB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4.双方约定的其他验收标准。</w:t>
      </w:r>
    </w:p>
    <w:p w14:paraId="19FFE9C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right="0" w:rightChars="0" w:firstLine="480" w:firstLineChars="200"/>
        <w:jc w:val="both"/>
        <w:textAlignment w:val="auto"/>
        <w:outlineLvl w:val="1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5.采购人在合同的履行期间以及履行期后，可以随时检查项目的执行情况，对采购标准、采购内容进行调查核实，并对发现的问题进行处理。</w:t>
      </w:r>
    </w:p>
    <w:p w14:paraId="3E4C87E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right="0" w:rightChars="0"/>
        <w:jc w:val="both"/>
        <w:textAlignment w:val="auto"/>
        <w:outlineLvl w:val="1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十三、违约责任</w:t>
      </w:r>
      <w:bookmarkEnd w:id="12"/>
    </w:p>
    <w:p w14:paraId="71ADAF9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right="0" w:rightChars="0" w:firstLine="480" w:firstLineChars="200"/>
        <w:jc w:val="both"/>
        <w:textAlignment w:val="auto"/>
        <w:outlineLvl w:val="1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</w:pPr>
      <w:bookmarkStart w:id="13" w:name="_Toc22345"/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>1.乙方应按合同约定时间完成各阶段合同义务，若发生延迟，乙方应向甲方支付合同总价款10%的违约金，且甲方有权单方解除本合同。但甲方书面同意延迟或因甲方原因导致延迟的，乙方不承担违约责任。</w:t>
      </w:r>
    </w:p>
    <w:p w14:paraId="11C22B7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right="0" w:rightChars="0" w:firstLine="480" w:firstLineChars="200"/>
        <w:jc w:val="both"/>
        <w:textAlignment w:val="auto"/>
        <w:outlineLvl w:val="1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>2.如甲方未能在本合同约定时间内支付款项，每延迟一天，甲方须向乙方承担迟延支付费用的0.5‰作为违约金，并将服务周期予以相应顺延。</w:t>
      </w:r>
    </w:p>
    <w:p w14:paraId="5BFF2B3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right="0" w:rightChars="0" w:firstLine="480" w:firstLineChars="200"/>
        <w:jc w:val="both"/>
        <w:textAlignment w:val="auto"/>
        <w:outlineLvl w:val="1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>3.本次活动因乙方原因导致侵害甲方或第三方合法权益的，应由乙方承担相应赔偿责任，并向甲方支付合同总价款10%的违约金。</w:t>
      </w:r>
    </w:p>
    <w:p w14:paraId="1259E92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right="0" w:rightChars="0" w:firstLine="480" w:firstLineChars="200"/>
        <w:jc w:val="both"/>
        <w:textAlignment w:val="auto"/>
        <w:outlineLvl w:val="1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>4.若乙方未经甲方同意泄露本合同约定的任何秘密信息的，乙方应按照合同总价款的10%向甲方支付违约金，并赔偿因此给甲方造成的损失。</w:t>
      </w:r>
    </w:p>
    <w:p w14:paraId="363C9E1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right="0" w:rightChars="0" w:firstLine="480" w:firstLineChars="200"/>
        <w:jc w:val="both"/>
        <w:textAlignment w:val="auto"/>
        <w:outlineLvl w:val="1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>5.乙方保证向甲方开具发票的真实性、合法性，若乙方向甲方开具的发票存在真实性、合法性问题，给甲方造成损失的，乙方应按合同总价款的10%向甲方支付违约金，违约金不足以弥补损失的，乙方还应承担相应赔偿责任。</w:t>
      </w:r>
    </w:p>
    <w:p w14:paraId="0A87872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right="0" w:rightChars="0"/>
        <w:jc w:val="both"/>
        <w:textAlignment w:val="auto"/>
        <w:outlineLvl w:val="1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十四、合同争议的解决方式</w:t>
      </w:r>
      <w:bookmarkEnd w:id="13"/>
    </w:p>
    <w:p w14:paraId="37A5DD2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right="0" w:rightChars="0" w:firstLine="480" w:firstLineChars="200"/>
        <w:jc w:val="both"/>
        <w:textAlignment w:val="auto"/>
        <w:outlineLvl w:val="1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>执行本合同过程中发生争议，应友好协商解决，协商不成的，任何一方可到甲方所在地人民法院提起诉讼。</w:t>
      </w:r>
    </w:p>
    <w:p w14:paraId="4AE97B6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right="0" w:rightChars="0"/>
        <w:jc w:val="both"/>
        <w:textAlignment w:val="auto"/>
        <w:outlineLvl w:val="1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</w:pPr>
      <w:bookmarkStart w:id="14" w:name="_Toc32303"/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十五、合同的变更和解除</w:t>
      </w:r>
      <w:bookmarkEnd w:id="14"/>
    </w:p>
    <w:p w14:paraId="44CD1711">
      <w:pPr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1.合同生效后，任何一方不得随意变更合同内容。确需变更合同内容的，应经双方协商一致后重新签订补充合同。</w:t>
      </w:r>
    </w:p>
    <w:p w14:paraId="0AC233D7">
      <w:pPr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2.合同签订后，因不可抗力致使合同确已无法全面履行的，经双方协商一致可解除合同。</w:t>
      </w:r>
    </w:p>
    <w:p w14:paraId="002CF60B">
      <w:pPr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3.因乙方的原因，致使工程在规定的期限内不能完工或质量不合格的，甲方有权终止合同，由此造成的各项损失由乙方承担，并赔偿甲方的损失。</w:t>
      </w:r>
    </w:p>
    <w:p w14:paraId="1DCAD49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right="0" w:rightChars="0"/>
        <w:jc w:val="both"/>
        <w:textAlignment w:val="auto"/>
        <w:outlineLvl w:val="1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</w:pPr>
      <w:bookmarkStart w:id="15" w:name="_Toc23712"/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十六、廉洁自律相关条款</w:t>
      </w:r>
      <w:bookmarkEnd w:id="15"/>
    </w:p>
    <w:p w14:paraId="3DFDA0D1">
      <w:pPr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1.甲乙双方遵守廉洁自律规定，严格执行合同条款，自觉按照合同办事，维护双方合法利益。</w:t>
      </w:r>
    </w:p>
    <w:p w14:paraId="235E176A">
      <w:pPr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2.在合同执行中，乙方不给予或暗示给予甲方工作人员任何利益，并自觉抵制任何索贿行为；甲方给乙方工作便利，不得吃、拿、卡、要，要自觉抵制任何行贿行为。</w:t>
      </w:r>
    </w:p>
    <w:p w14:paraId="65A23365">
      <w:pPr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3.乙方发现甲方相关工作人员有不廉洁行为，应及时向甲方主管或监察处等部门举报。</w:t>
      </w:r>
    </w:p>
    <w:p w14:paraId="3442B4D9">
      <w:pPr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4.甲方发现乙方有商业行贿行为或严重违反合同条款，有权取消或终止本合同，由此给甲、乙造成的损失均由乙方承担，乙方不得有异议。</w:t>
      </w:r>
    </w:p>
    <w:p w14:paraId="02C4988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right="0" w:rightChars="0"/>
        <w:jc w:val="both"/>
        <w:textAlignment w:val="auto"/>
        <w:outlineLvl w:val="1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</w:pPr>
      <w:bookmarkStart w:id="16" w:name="_Toc8464"/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十七、其他</w:t>
      </w:r>
      <w:bookmarkEnd w:id="16"/>
    </w:p>
    <w:p w14:paraId="22B2CCD1">
      <w:pPr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1.乙方施工过程中，应遵循劳动协议、安全防护等相关法律法规，采取严格的安全防护措施，确保施工安全，承担由于自身安全措施不力造成的责任和因此发生的损失。</w:t>
      </w:r>
    </w:p>
    <w:p w14:paraId="21FD7969">
      <w:pPr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2.工程施工过程中若发生重大伤亡事故，乙方应按有关规定立即上报有关部门并通知甲方，并积极处理善后事宜。</w:t>
      </w:r>
    </w:p>
    <w:p w14:paraId="5B5FF7A6">
      <w:pPr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3.本合同经甲、乙双方签字盖章后生效。工程竣工验收，甲方结清工程款，乙方将工程交付甲方后，除有关保修条款仍然生效外，本合同其他条款效力终止。保修条款效力至保修期满终止。</w:t>
      </w:r>
    </w:p>
    <w:p w14:paraId="58631A2B">
      <w:pPr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4.本合同工程不能转包。</w:t>
      </w:r>
    </w:p>
    <w:p w14:paraId="4F6C912F">
      <w:pPr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5.本合同未尽事宜，甲乙双方应本着友好的精神予以协商解决，达成补充协议。补充协议与本合同具有同等效力。</w:t>
      </w:r>
    </w:p>
    <w:p w14:paraId="34D33EFE">
      <w:pPr>
        <w:keepNext w:val="0"/>
        <w:keepLines w:val="0"/>
        <w:pageBreakBefore w:val="0"/>
        <w:tabs>
          <w:tab w:val="left" w:pos="720"/>
          <w:tab w:val="left" w:pos="900"/>
        </w:tabs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rightChars="0"/>
        <w:textAlignment w:val="auto"/>
        <w:outlineLvl w:val="1"/>
        <w:rPr>
          <w:rFonts w:hint="eastAsia" w:ascii="宋体" w:hAnsi="宋体" w:eastAsia="宋体" w:cs="宋体"/>
          <w:sz w:val="24"/>
          <w:szCs w:val="24"/>
        </w:rPr>
      </w:pPr>
      <w:bookmarkStart w:id="17" w:name="_Toc26858"/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十八、合同订立</w:t>
      </w:r>
      <w:bookmarkEnd w:id="17"/>
    </w:p>
    <w:p w14:paraId="5E10E51E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75" w:firstLineChars="198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1.订立时间：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日。</w:t>
      </w:r>
    </w:p>
    <w:p w14:paraId="6AE7092B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75" w:firstLineChars="198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2.订立地点：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 w14:paraId="4C365CBF">
      <w:pPr>
        <w:keepNext w:val="0"/>
        <w:keepLines w:val="0"/>
        <w:pageBreakBefore w:val="0"/>
        <w:widowControl w:val="0"/>
        <w:tabs>
          <w:tab w:val="left" w:pos="980"/>
        </w:tabs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3.本合同一式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份，具有同等法律效力，双方各执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份。各方签字盖章后生效，合同执行完毕自动失效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325CF5F2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adjustRightInd w:val="0"/>
        <w:snapToGrid w:val="0"/>
        <w:spacing w:line="360" w:lineRule="auto"/>
        <w:ind w:right="0" w:rightChars="0" w:firstLine="480" w:firstLineChars="200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09C1E2CE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adjustRightInd w:val="0"/>
        <w:snapToGrid w:val="0"/>
        <w:spacing w:line="360" w:lineRule="auto"/>
        <w:ind w:right="0" w:rightChars="0" w:firstLine="480" w:firstLineChars="200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附件：采购文件、响应文件</w:t>
      </w:r>
    </w:p>
    <w:p w14:paraId="79E7373C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right="0" w:right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66F3AB02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right="0" w:rightChars="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2C2E6946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right="0" w:rightChars="0"/>
        <w:textAlignment w:val="auto"/>
        <w:rPr>
          <w:rFonts w:hint="eastAsia" w:ascii="宋体" w:hAnsi="宋体" w:eastAsia="宋体" w:cs="宋体"/>
          <w:sz w:val="24"/>
          <w:szCs w:val="24"/>
        </w:rPr>
      </w:pPr>
    </w:p>
    <w:tbl>
      <w:tblPr>
        <w:tblStyle w:val="5"/>
        <w:tblW w:w="92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11"/>
        <w:gridCol w:w="4948"/>
      </w:tblGrid>
      <w:tr w14:paraId="7039D4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exact"/>
          <w:jc w:val="center"/>
        </w:trPr>
        <w:tc>
          <w:tcPr>
            <w:tcW w:w="431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7FE0773">
            <w:pPr>
              <w:keepNext w:val="0"/>
              <w:keepLines w:val="0"/>
              <w:pageBreakBefore w:val="0"/>
              <w:tabs>
                <w:tab w:val="left" w:pos="980"/>
              </w:tabs>
              <w:kinsoku w:val="0"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right="0" w:right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甲方</w:t>
            </w:r>
          </w:p>
        </w:tc>
        <w:tc>
          <w:tcPr>
            <w:tcW w:w="4948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411E97F">
            <w:pPr>
              <w:keepNext w:val="0"/>
              <w:keepLines w:val="0"/>
              <w:pageBreakBefore w:val="0"/>
              <w:tabs>
                <w:tab w:val="left" w:pos="980"/>
              </w:tabs>
              <w:kinsoku w:val="0"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right="0" w:rightChars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乙方</w:t>
            </w:r>
          </w:p>
        </w:tc>
      </w:tr>
      <w:tr w14:paraId="6F4BE4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2" w:hRule="exact"/>
          <w:jc w:val="center"/>
        </w:trPr>
        <w:tc>
          <w:tcPr>
            <w:tcW w:w="431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4F1C745E">
            <w:pPr>
              <w:keepNext w:val="0"/>
              <w:keepLines w:val="0"/>
              <w:pageBreakBefore w:val="0"/>
              <w:widowControl w:val="0"/>
              <w:tabs>
                <w:tab w:val="left" w:pos="980"/>
              </w:tabs>
              <w:kinsoku w:val="0"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right="0" w:right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单位全称（盖章）：</w:t>
            </w:r>
          </w:p>
          <w:p w14:paraId="65AA8E60">
            <w:pPr>
              <w:keepNext w:val="0"/>
              <w:keepLines w:val="0"/>
              <w:pageBreakBefore w:val="0"/>
              <w:widowControl w:val="0"/>
              <w:tabs>
                <w:tab w:val="left" w:pos="980"/>
              </w:tabs>
              <w:kinsoku w:val="0"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right="0" w:right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单位地址：</w:t>
            </w:r>
          </w:p>
          <w:p w14:paraId="67252E1F">
            <w:pPr>
              <w:keepNext w:val="0"/>
              <w:keepLines w:val="0"/>
              <w:pageBreakBefore w:val="0"/>
              <w:widowControl w:val="0"/>
              <w:tabs>
                <w:tab w:val="left" w:pos="980"/>
              </w:tabs>
              <w:kinsoku w:val="0"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right="0" w:right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法定代表人/委托代理人：</w:t>
            </w:r>
          </w:p>
          <w:p w14:paraId="6B4D8227">
            <w:pPr>
              <w:keepNext w:val="0"/>
              <w:keepLines w:val="0"/>
              <w:pageBreakBefore w:val="0"/>
              <w:widowControl w:val="0"/>
              <w:tabs>
                <w:tab w:val="left" w:pos="980"/>
              </w:tabs>
              <w:kinsoku w:val="0"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right="0" w:right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组织机构代码：</w:t>
            </w:r>
          </w:p>
          <w:p w14:paraId="23C00112">
            <w:pPr>
              <w:keepNext w:val="0"/>
              <w:keepLines w:val="0"/>
              <w:pageBreakBefore w:val="0"/>
              <w:widowControl w:val="0"/>
              <w:tabs>
                <w:tab w:val="left" w:pos="980"/>
              </w:tabs>
              <w:kinsoku w:val="0"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right="0" w:right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电话：</w:t>
            </w:r>
          </w:p>
          <w:p w14:paraId="6D79BFF8">
            <w:pPr>
              <w:keepNext w:val="0"/>
              <w:keepLines w:val="0"/>
              <w:pageBreakBefore w:val="0"/>
              <w:widowControl w:val="0"/>
              <w:tabs>
                <w:tab w:val="left" w:pos="980"/>
              </w:tabs>
              <w:kinsoku w:val="0"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right="0" w:right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传真：</w:t>
            </w:r>
          </w:p>
          <w:p w14:paraId="3C12E624">
            <w:pPr>
              <w:keepNext w:val="0"/>
              <w:keepLines w:val="0"/>
              <w:pageBreakBefore w:val="0"/>
              <w:widowControl w:val="0"/>
              <w:tabs>
                <w:tab w:val="left" w:pos="980"/>
              </w:tabs>
              <w:kinsoku w:val="0"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right="0" w:right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开户银行：</w:t>
            </w:r>
          </w:p>
          <w:p w14:paraId="5A08B644">
            <w:pPr>
              <w:keepNext w:val="0"/>
              <w:keepLines w:val="0"/>
              <w:pageBreakBefore w:val="0"/>
              <w:widowControl w:val="0"/>
              <w:tabs>
                <w:tab w:val="left" w:pos="980"/>
              </w:tabs>
              <w:kinsoku w:val="0"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right="0" w:right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账号：</w:t>
            </w:r>
          </w:p>
        </w:tc>
        <w:tc>
          <w:tcPr>
            <w:tcW w:w="4948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53667519">
            <w:pPr>
              <w:keepNext w:val="0"/>
              <w:keepLines w:val="0"/>
              <w:pageBreakBefore w:val="0"/>
              <w:widowControl w:val="0"/>
              <w:tabs>
                <w:tab w:val="left" w:pos="980"/>
              </w:tabs>
              <w:kinsoku w:val="0"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right="0" w:right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单位全称（盖章）：</w:t>
            </w:r>
          </w:p>
          <w:p w14:paraId="7AE6F17A">
            <w:pPr>
              <w:keepNext w:val="0"/>
              <w:keepLines w:val="0"/>
              <w:pageBreakBefore w:val="0"/>
              <w:widowControl w:val="0"/>
              <w:tabs>
                <w:tab w:val="left" w:pos="980"/>
              </w:tabs>
              <w:kinsoku w:val="0"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right="0" w:right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法定代表人/委托代理人：</w:t>
            </w:r>
          </w:p>
          <w:p w14:paraId="445C286A">
            <w:pPr>
              <w:keepNext w:val="0"/>
              <w:keepLines w:val="0"/>
              <w:pageBreakBefore w:val="0"/>
              <w:widowControl w:val="0"/>
              <w:tabs>
                <w:tab w:val="left" w:pos="980"/>
              </w:tabs>
              <w:kinsoku w:val="0"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right="0" w:right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开户名称：</w:t>
            </w:r>
          </w:p>
          <w:p w14:paraId="150D61D8">
            <w:pPr>
              <w:keepNext w:val="0"/>
              <w:keepLines w:val="0"/>
              <w:pageBreakBefore w:val="0"/>
              <w:widowControl w:val="0"/>
              <w:tabs>
                <w:tab w:val="left" w:pos="980"/>
              </w:tabs>
              <w:kinsoku w:val="0"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right="0" w:right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银行账户：</w:t>
            </w:r>
          </w:p>
          <w:p w14:paraId="6AFB0B41">
            <w:pPr>
              <w:keepNext w:val="0"/>
              <w:keepLines w:val="0"/>
              <w:pageBreakBefore w:val="0"/>
              <w:widowControl w:val="0"/>
              <w:tabs>
                <w:tab w:val="left" w:pos="980"/>
              </w:tabs>
              <w:kinsoku w:val="0"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right="0" w:right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纳税人识别号：</w:t>
            </w:r>
          </w:p>
          <w:p w14:paraId="1E3D5C77">
            <w:pPr>
              <w:keepNext w:val="0"/>
              <w:keepLines w:val="0"/>
              <w:pageBreakBefore w:val="0"/>
              <w:widowControl w:val="0"/>
              <w:tabs>
                <w:tab w:val="left" w:pos="980"/>
              </w:tabs>
              <w:kinsoku w:val="0"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right="0" w:right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地址：</w:t>
            </w:r>
          </w:p>
          <w:p w14:paraId="5B9CCD4E">
            <w:pPr>
              <w:keepNext w:val="0"/>
              <w:keepLines w:val="0"/>
              <w:pageBreakBefore w:val="0"/>
              <w:widowControl w:val="0"/>
              <w:tabs>
                <w:tab w:val="left" w:pos="980"/>
              </w:tabs>
              <w:kinsoku w:val="0"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right="0" w:right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联系人：</w:t>
            </w:r>
          </w:p>
        </w:tc>
      </w:tr>
    </w:tbl>
    <w:p w14:paraId="63B7DC16">
      <w:pPr>
        <w:rPr>
          <w:rFonts w:hint="eastAsia" w:ascii="宋体" w:hAnsi="宋体" w:eastAsia="宋体" w:cs="宋体"/>
          <w:sz w:val="24"/>
          <w:szCs w:val="24"/>
        </w:rPr>
      </w:pPr>
    </w:p>
    <w:p w14:paraId="1FC9C116">
      <w:pPr>
        <w:rPr>
          <w:rFonts w:hint="eastAsia" w:ascii="宋体" w:hAnsi="宋体" w:eastAsia="宋体" w:cs="宋体"/>
          <w:sz w:val="24"/>
          <w:szCs w:val="24"/>
        </w:rPr>
      </w:pPr>
    </w:p>
    <w:p w14:paraId="1648A217">
      <w:pPr>
        <w:ind w:left="0" w:leftChars="0" w:right="0" w:rightChars="0" w:firstLine="0" w:firstLineChars="0"/>
        <w:jc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本合同协议书仅供参考，</w:t>
      </w:r>
      <w:r>
        <w:rPr>
          <w:rFonts w:hint="eastAsia" w:cs="宋体"/>
          <w:b/>
          <w:bCs/>
          <w:sz w:val="32"/>
          <w:szCs w:val="32"/>
          <w:lang w:eastAsia="zh-CN"/>
        </w:rPr>
        <w:t>最终</w:t>
      </w:r>
      <w:bookmarkStart w:id="18" w:name="_GoBack"/>
      <w:bookmarkEnd w:id="18"/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以实际签订的合同为准。</w:t>
      </w:r>
    </w:p>
    <w:sectPr>
      <w:headerReference r:id="rId5" w:type="default"/>
      <w:footerReference r:id="rId6" w:type="default"/>
      <w:footerReference r:id="rId7" w:type="even"/>
      <w:pgSz w:w="11906" w:h="16838"/>
      <w:pgMar w:top="1440" w:right="1800" w:bottom="1440" w:left="1800" w:header="851" w:footer="992" w:gutter="0"/>
      <w:cols w:space="720" w:num="1"/>
      <w:titlePg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A455A5">
    <w:pPr>
      <w:pStyle w:val="3"/>
      <w:framePr w:wrap="around" w:vAnchor="text" w:hAnchor="margin" w:xAlign="right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5</w:t>
    </w:r>
    <w:r>
      <w:rPr>
        <w:rStyle w:val="8"/>
      </w:rPr>
      <w:fldChar w:fldCharType="end"/>
    </w:r>
  </w:p>
  <w:p w14:paraId="438EE58D"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C59C37">
    <w:pPr>
      <w:pStyle w:val="3"/>
      <w:framePr w:wrap="around" w:vAnchor="text" w:hAnchor="margin" w:xAlign="right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 w14:paraId="4366DCBC">
    <w:pPr>
      <w:pStyle w:val="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3B8884"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lhNWJmZWU3ZmQ1Nzc1YTZkNWJlMTk0YzgzOTY4NDEifQ=="/>
  </w:docVars>
  <w:rsids>
    <w:rsidRoot w:val="5F1D40F1"/>
    <w:rsid w:val="0A0822B0"/>
    <w:rsid w:val="24D84A4A"/>
    <w:rsid w:val="2BFC09DF"/>
    <w:rsid w:val="36771D3C"/>
    <w:rsid w:val="38AD6792"/>
    <w:rsid w:val="5F1D40F1"/>
    <w:rsid w:val="6D053C06"/>
    <w:rsid w:val="72DC0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宋体" w:hAnsi="宋体" w:eastAsia="宋体" w:cs="宋体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 w:val="0"/>
      <w:keepLines w:val="0"/>
      <w:pageBreakBefore/>
      <w:spacing w:before="40" w:beforeLines="0" w:beforeAutospacing="0" w:after="40" w:afterLines="0" w:afterAutospacing="0" w:line="360" w:lineRule="auto"/>
      <w:jc w:val="center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qFormat/>
    <w:uiPriority w:val="99"/>
    <w:rPr>
      <w:rFonts w:cs="Times New Roman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2609</Words>
  <Characters>2669</Characters>
  <Lines>0</Lines>
  <Paragraphs>0</Paragraphs>
  <TotalTime>0</TotalTime>
  <ScaleCrop>false</ScaleCrop>
  <LinksUpToDate>false</LinksUpToDate>
  <CharactersWithSpaces>3031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2024-07-05T09:49:00Z</dcterms:created>
  <dc:creator>®</dc:creator>
  <cp:lastModifiedBy>Admin</cp:lastModifiedBy>
  <dcterms:modified xsi:type="dcterms:W3CDTF">2026-01-21T00:43:53Z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2BFB6C31BD5B40249C92552917F58D06_11</vt:lpwstr>
  </property>
  <property fmtid="{D5CDD505-2E9C-101B-9397-08002B2CF9AE}" pid="4" name="KSOTemplateDocerSaveRecord">
    <vt:lpwstr>eyJoZGlkIjoiYmY0MTllNTk1ZGZlZmU1ODI0Y2IxMDRjN2JiZGIzMzQiLCJ1c2VySWQiOiI0OTIzNTUzODYifQ==</vt:lpwstr>
  </property>
</Properties>
</file>