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版本号：SCZE2025-ZB-2460-00120260108001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碎石机一台购置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SCZE2025-ZB-2460-001</w:t>
      </w:r>
      <w:r>
        <w:br/>
      </w:r>
      <w:r>
        <w:br/>
      </w:r>
      <w:r>
        <w:br/>
      </w:r>
    </w:p>
    <w:p>
      <w:pPr>
        <w:pStyle w:val="null3"/>
        <w:jc w:val="center"/>
        <w:outlineLvl w:val="2"/>
      </w:pPr>
      <w:r>
        <w:rPr>
          <w:rFonts w:ascii="仿宋_GB2312" w:hAnsi="仿宋_GB2312" w:cs="仿宋_GB2312" w:eastAsia="仿宋_GB2312"/>
          <w:sz w:val="28"/>
          <w:b/>
        </w:rPr>
        <w:t>合阳县人民医院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碎石机一台购置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SCZE2025-ZB-2460-001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碎石机一台购置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碎石机一台购置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殊资格：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rFonts w:ascii="仿宋_GB2312" w:hAnsi="仿宋_GB2312" w:cs="仿宋_GB2312" w:eastAsia="仿宋_GB2312"/>
        </w:rPr>
        <w:t>3、投标人不得存在下列情形之一：（1）单位负责人为同一人或者存在直接控股、管理关系的不同投标人，不得参加本次采购活动；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4、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0913-5899194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党晓娜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代理服务费收费标准：1.代理服务费参照《国家计委关于印发&lt;招标代理服务收费管理暂行办法&gt;的通知》（计价格[2002]1980号）规定标准按标段收取，单标段不足8000元按8000收取。 2.账户信息 单位名称:陕西省采购招标有限责任公司 社会信用统一代码/纳税识别号:91610000758811560H 单位地址:陕西省西安市高新区唐延南路都市之门C座9层 单位电话:029-85256853 开户银行:中国光大银行西安友谊路支行 银行账号:78560188000095264 3.招标代理费开发票流程 开招标代理费需将（1）转账凭证 （2）开票信息 （3）收取电子发票邮箱 （4）发票开票种类 编辑到一个WORD文档中发送至3818307731@qq.com办理开发票手续。</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碎石机一台购置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碎石机一台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标的名称：碎石机一台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产品用途：用于治疗人体泌尿系统结石</w:t>
            </w:r>
          </w:p>
          <w:p>
            <w:pPr>
              <w:pStyle w:val="null3"/>
            </w:pPr>
            <w:r>
              <w:rPr>
                <w:rFonts w:ascii="仿宋_GB2312" w:hAnsi="仿宋_GB2312" w:cs="仿宋_GB2312" w:eastAsia="仿宋_GB2312"/>
              </w:rPr>
              <w:t>技术参数：</w:t>
            </w:r>
          </w:p>
          <w:p>
            <w:pPr>
              <w:pStyle w:val="null3"/>
            </w:pPr>
            <w:r>
              <w:rPr>
                <w:rFonts w:ascii="仿宋_GB2312" w:hAnsi="仿宋_GB2312" w:cs="仿宋_GB2312" w:eastAsia="仿宋_GB2312"/>
              </w:rPr>
              <w:t>1、下定位电磁式冲击波源：</w:t>
            </w:r>
          </w:p>
          <w:p>
            <w:pPr>
              <w:pStyle w:val="null3"/>
            </w:pPr>
            <w:r>
              <w:rPr>
                <w:rFonts w:ascii="仿宋_GB2312" w:hAnsi="仿宋_GB2312" w:cs="仿宋_GB2312" w:eastAsia="仿宋_GB2312"/>
              </w:rPr>
              <w:t>1.1、高压放电治疗电压最大值：≥17KV；高压放电治疗电压最小值：≤10.8KV；</w:t>
            </w:r>
          </w:p>
          <w:p>
            <w:pPr>
              <w:pStyle w:val="null3"/>
            </w:pPr>
            <w:r>
              <w:rPr>
                <w:rFonts w:ascii="仿宋_GB2312" w:hAnsi="仿宋_GB2312" w:cs="仿宋_GB2312" w:eastAsia="仿宋_GB2312"/>
              </w:rPr>
              <w:t>1.2、高压放电电容储能最大值：≥150J；</w:t>
            </w:r>
          </w:p>
          <w:p>
            <w:pPr>
              <w:pStyle w:val="null3"/>
            </w:pPr>
            <w:r>
              <w:rPr>
                <w:rFonts w:ascii="仿宋_GB2312" w:hAnsi="仿宋_GB2312" w:cs="仿宋_GB2312" w:eastAsia="仿宋_GB2312"/>
              </w:rPr>
              <w:t>1.3、焦点冲击波压力峰值的最大值≤30MPa；</w:t>
            </w:r>
          </w:p>
          <w:p>
            <w:pPr>
              <w:pStyle w:val="null3"/>
            </w:pPr>
            <w:r>
              <w:rPr>
                <w:rFonts w:ascii="仿宋_GB2312" w:hAnsi="仿宋_GB2312" w:cs="仿宋_GB2312" w:eastAsia="仿宋_GB2312"/>
              </w:rPr>
              <w:t>1.4、焦点聚焦范围：径向≤±7mm ；治疗频率：0.5-2Hz可调；</w:t>
            </w:r>
          </w:p>
          <w:p>
            <w:pPr>
              <w:pStyle w:val="null3"/>
            </w:pPr>
            <w:r>
              <w:rPr>
                <w:rFonts w:ascii="仿宋_GB2312" w:hAnsi="仿宋_GB2312" w:cs="仿宋_GB2312" w:eastAsia="仿宋_GB2312"/>
              </w:rPr>
              <w:t>1.5、冲击波源具有：故障报警功能，振膜漏水时自动切断高压系统，安全可靠；三维运动+ 斜面运动+翻转运动；冲击波波源具有实时抽真空功能，实现低能量低剂量碎石；</w:t>
            </w:r>
          </w:p>
          <w:p>
            <w:pPr>
              <w:pStyle w:val="null3"/>
            </w:pPr>
            <w:r>
              <w:rPr>
                <w:rFonts w:ascii="仿宋_GB2312" w:hAnsi="仿宋_GB2312" w:cs="仿宋_GB2312" w:eastAsia="仿宋_GB2312"/>
              </w:rPr>
              <w:t>1.6、易损件要求：冲击波源、高压开关、高压电容可独立维修更换，非使用电容箱的整体更换；</w:t>
            </w:r>
          </w:p>
          <w:p>
            <w:pPr>
              <w:pStyle w:val="null3"/>
            </w:pPr>
            <w:r>
              <w:rPr>
                <w:rFonts w:ascii="仿宋_GB2312" w:hAnsi="仿宋_GB2312" w:cs="仿宋_GB2312" w:eastAsia="仿宋_GB2312"/>
              </w:rPr>
              <w:t>1.7、操作系统由内嵌式计算机模块控制，触发计数采用递减倒计数自动停止触发，电压自动跟踪调压，高压表显示稳定，可真彩液晶触摸屏操作；</w:t>
            </w:r>
          </w:p>
          <w:p>
            <w:pPr>
              <w:pStyle w:val="null3"/>
            </w:pPr>
            <w:r>
              <w:rPr>
                <w:rFonts w:ascii="仿宋_GB2312" w:hAnsi="仿宋_GB2312" w:cs="仿宋_GB2312" w:eastAsia="仿宋_GB2312"/>
              </w:rPr>
              <w:t>1.8、治疗时的电压稳定，即：在进行治疗时电压数值是定值非波动值。</w:t>
            </w:r>
          </w:p>
          <w:p>
            <w:pPr>
              <w:pStyle w:val="null3"/>
            </w:pPr>
            <w:r>
              <w:rPr>
                <w:rFonts w:ascii="仿宋_GB2312" w:hAnsi="仿宋_GB2312" w:cs="仿宋_GB2312" w:eastAsia="仿宋_GB2312"/>
              </w:rPr>
              <w:t>2、超声定位系统</w:t>
            </w:r>
          </w:p>
          <w:p>
            <w:pPr>
              <w:pStyle w:val="null3"/>
            </w:pPr>
            <w:r>
              <w:rPr>
                <w:rFonts w:ascii="仿宋_GB2312" w:hAnsi="仿宋_GB2312" w:cs="仿宋_GB2312" w:eastAsia="仿宋_GB2312"/>
              </w:rPr>
              <w:t>2.1、多角度B超探头定位装置；</w:t>
            </w:r>
          </w:p>
          <w:p>
            <w:pPr>
              <w:pStyle w:val="null3"/>
            </w:pPr>
            <w:r>
              <w:rPr>
                <w:rFonts w:ascii="仿宋_GB2312" w:hAnsi="仿宋_GB2312" w:cs="仿宋_GB2312" w:eastAsia="仿宋_GB2312"/>
              </w:rPr>
              <w:t>2.2、回转型B超定位装置；</w:t>
            </w:r>
          </w:p>
          <w:p>
            <w:pPr>
              <w:pStyle w:val="null3"/>
            </w:pPr>
            <w:r>
              <w:rPr>
                <w:rFonts w:ascii="仿宋_GB2312" w:hAnsi="仿宋_GB2312" w:cs="仿宋_GB2312" w:eastAsia="仿宋_GB2312"/>
              </w:rPr>
              <w:t>2.3、探头电动进给，数字显示；</w:t>
            </w:r>
          </w:p>
          <w:p>
            <w:pPr>
              <w:pStyle w:val="null3"/>
            </w:pPr>
            <w:r>
              <w:rPr>
                <w:rFonts w:ascii="仿宋_GB2312" w:hAnsi="仿宋_GB2312" w:cs="仿宋_GB2312" w:eastAsia="仿宋_GB2312"/>
              </w:rPr>
              <w:t>3、治疗床及波源运动参数</w:t>
            </w:r>
          </w:p>
          <w:p>
            <w:pPr>
              <w:pStyle w:val="null3"/>
            </w:pPr>
            <w:r>
              <w:rPr>
                <w:rFonts w:ascii="仿宋_GB2312" w:hAnsi="仿宋_GB2312" w:cs="仿宋_GB2312" w:eastAsia="仿宋_GB2312"/>
              </w:rPr>
              <w:t>3.1、治疗床载重量：≥135kg；</w:t>
            </w:r>
          </w:p>
          <w:p>
            <w:pPr>
              <w:pStyle w:val="null3"/>
            </w:pPr>
            <w:r>
              <w:rPr>
                <w:rFonts w:ascii="仿宋_GB2312" w:hAnsi="仿宋_GB2312" w:cs="仿宋_GB2312" w:eastAsia="仿宋_GB2312"/>
              </w:rPr>
              <w:t>3.2、治疗床与主机一体式（非分体式），床旁悬挂式操作台且可在床旁两个位置互换，患者可以从操作台的对面上下床。</w:t>
            </w:r>
          </w:p>
          <w:p>
            <w:pPr>
              <w:pStyle w:val="null3"/>
            </w:pPr>
            <w:r>
              <w:rPr>
                <w:rFonts w:ascii="仿宋_GB2312" w:hAnsi="仿宋_GB2312" w:cs="仿宋_GB2312" w:eastAsia="仿宋_GB2312"/>
              </w:rPr>
              <w:t>3.3、波源横向运动范围：≥80mm；</w:t>
            </w:r>
          </w:p>
          <w:p>
            <w:pPr>
              <w:pStyle w:val="null3"/>
            </w:pPr>
            <w:r>
              <w:rPr>
                <w:rFonts w:ascii="仿宋_GB2312" w:hAnsi="仿宋_GB2312" w:cs="仿宋_GB2312" w:eastAsia="仿宋_GB2312"/>
              </w:rPr>
              <w:t>3.4、波源纵向运动范围：≥80mm；</w:t>
            </w:r>
          </w:p>
          <w:p>
            <w:pPr>
              <w:pStyle w:val="null3"/>
            </w:pPr>
            <w:r>
              <w:rPr>
                <w:rFonts w:ascii="仿宋_GB2312" w:hAnsi="仿宋_GB2312" w:cs="仿宋_GB2312" w:eastAsia="仿宋_GB2312"/>
              </w:rPr>
              <w:t>3.5、波源升降运动范围：≥80mm；</w:t>
            </w:r>
          </w:p>
          <w:p>
            <w:pPr>
              <w:pStyle w:val="null3"/>
            </w:pPr>
            <w:r>
              <w:rPr>
                <w:rFonts w:ascii="仿宋_GB2312" w:hAnsi="仿宋_GB2312" w:cs="仿宋_GB2312" w:eastAsia="仿宋_GB2312"/>
              </w:rPr>
              <w:t>3.6、波源斜面运动范围：≥80mm；</w:t>
            </w:r>
          </w:p>
          <w:p>
            <w:pPr>
              <w:pStyle w:val="null3"/>
            </w:pPr>
            <w:r>
              <w:rPr>
                <w:rFonts w:ascii="仿宋_GB2312" w:hAnsi="仿宋_GB2312" w:cs="仿宋_GB2312" w:eastAsia="仿宋_GB2312"/>
              </w:rPr>
              <w:t>3.7、波源摆角：≥±15°；</w:t>
            </w:r>
          </w:p>
          <w:p>
            <w:pPr>
              <w:pStyle w:val="null3"/>
            </w:pPr>
            <w:r>
              <w:rPr>
                <w:rFonts w:ascii="仿宋_GB2312" w:hAnsi="仿宋_GB2312" w:cs="仿宋_GB2312" w:eastAsia="仿宋_GB2312"/>
              </w:rPr>
              <w:t>4、电源参数</w:t>
            </w:r>
          </w:p>
          <w:p>
            <w:pPr>
              <w:pStyle w:val="null3"/>
            </w:pPr>
            <w:r>
              <w:rPr>
                <w:rFonts w:ascii="仿宋_GB2312" w:hAnsi="仿宋_GB2312" w:cs="仿宋_GB2312" w:eastAsia="仿宋_GB2312"/>
              </w:rPr>
              <w:t>4.1、电源相数：单相；</w:t>
            </w:r>
          </w:p>
          <w:p>
            <w:pPr>
              <w:pStyle w:val="null3"/>
            </w:pPr>
            <w:r>
              <w:rPr>
                <w:rFonts w:ascii="仿宋_GB2312" w:hAnsi="仿宋_GB2312" w:cs="仿宋_GB2312" w:eastAsia="仿宋_GB2312"/>
              </w:rPr>
              <w:t>4.2、电源电压：220V ；</w:t>
            </w:r>
          </w:p>
          <w:p>
            <w:pPr>
              <w:pStyle w:val="null3"/>
            </w:pPr>
            <w:r>
              <w:rPr>
                <w:rFonts w:ascii="仿宋_GB2312" w:hAnsi="仿宋_GB2312" w:cs="仿宋_GB2312" w:eastAsia="仿宋_GB2312"/>
              </w:rPr>
              <w:t>4.3、电源频率：50Hz；</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配置清单</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主机</w:t>
                  </w:r>
                </w:p>
              </w:tc>
              <w:tc>
                <w:tcPr>
                  <w:tcW w:type="dxa" w:w="638"/>
                </w:tcPr>
                <w:p>
                  <w:pPr>
                    <w:pStyle w:val="null3"/>
                  </w:pPr>
                  <w:r>
                    <w:rPr>
                      <w:rFonts w:ascii="仿宋_GB2312" w:hAnsi="仿宋_GB2312" w:cs="仿宋_GB2312" w:eastAsia="仿宋_GB2312"/>
                    </w:rPr>
                    <w:t>1台</w:t>
                  </w:r>
                </w:p>
              </w:tc>
              <w:tc>
                <w:tcPr>
                  <w:tcW w:type="dxa" w:w="638"/>
                </w:tcPr>
                <w:p>
                  <w:pPr>
                    <w:pStyle w:val="null3"/>
                  </w:pPr>
                  <w:r>
                    <w:rPr>
                      <w:rFonts w:ascii="仿宋_GB2312" w:hAnsi="仿宋_GB2312" w:cs="仿宋_GB2312" w:eastAsia="仿宋_GB2312"/>
                    </w:rPr>
                    <w:t>含高压控制系统、自动水循环系统、运动控制系统、嵌入式ARM控制系统</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治疗床</w:t>
                  </w:r>
                </w:p>
              </w:tc>
              <w:tc>
                <w:tcPr>
                  <w:tcW w:type="dxa" w:w="638"/>
                </w:tcPr>
                <w:p>
                  <w:pPr>
                    <w:pStyle w:val="null3"/>
                  </w:pPr>
                  <w:r>
                    <w:rPr>
                      <w:rFonts w:ascii="仿宋_GB2312" w:hAnsi="仿宋_GB2312" w:cs="仿宋_GB2312" w:eastAsia="仿宋_GB2312"/>
                    </w:rPr>
                    <w:t>1台</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控制盒</w:t>
                  </w:r>
                </w:p>
              </w:tc>
              <w:tc>
                <w:tcPr>
                  <w:tcW w:type="dxa" w:w="638"/>
                </w:tcPr>
                <w:p>
                  <w:pPr>
                    <w:pStyle w:val="null3"/>
                  </w:pPr>
                  <w:r>
                    <w:rPr>
                      <w:rFonts w:ascii="仿宋_GB2312" w:hAnsi="仿宋_GB2312" w:cs="仿宋_GB2312" w:eastAsia="仿宋_GB2312"/>
                    </w:rPr>
                    <w:t>1个</w:t>
                  </w:r>
                </w:p>
              </w:tc>
              <w:tc>
                <w:tcPr>
                  <w:tcW w:type="dxa" w:w="638"/>
                </w:tcPr>
                <w:p>
                  <w:pPr>
                    <w:pStyle w:val="null3"/>
                  </w:pPr>
                  <w:r>
                    <w:rPr>
                      <w:rFonts w:ascii="仿宋_GB2312" w:hAnsi="仿宋_GB2312" w:cs="仿宋_GB2312" w:eastAsia="仿宋_GB2312"/>
                    </w:rPr>
                    <w:t>床边7寸可移动彩色液晶触摸屏</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电磁式冲击波发生器</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电容箱</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高压开关、高压电容</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负压抽真空系统</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水、气处理系统</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电动定位装置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离体碎石架、定位盘</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含大水囊</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小水囊</w:t>
                  </w:r>
                </w:p>
              </w:tc>
              <w:tc>
                <w:tcPr>
                  <w:tcW w:type="dxa" w:w="638"/>
                </w:tcPr>
                <w:p>
                  <w:pPr>
                    <w:pStyle w:val="null3"/>
                  </w:pPr>
                  <w:r>
                    <w:rPr>
                      <w:rFonts w:ascii="仿宋_GB2312" w:hAnsi="仿宋_GB2312" w:cs="仿宋_GB2312" w:eastAsia="仿宋_GB2312"/>
                    </w:rPr>
                    <w:t>2个</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枕头</w:t>
                  </w:r>
                </w:p>
              </w:tc>
              <w:tc>
                <w:tcPr>
                  <w:tcW w:type="dxa" w:w="638"/>
                </w:tcPr>
                <w:p>
                  <w:pPr>
                    <w:pStyle w:val="null3"/>
                  </w:pPr>
                  <w:r>
                    <w:rPr>
                      <w:rFonts w:ascii="仿宋_GB2312" w:hAnsi="仿宋_GB2312" w:cs="仿宋_GB2312" w:eastAsia="仿宋_GB2312"/>
                    </w:rPr>
                    <w:t>1个</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工具箱</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随机资料</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bl>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质保期：12个月，期间存在任何故障由乙方负责维修或更换，并承担全部费用（配件、人工费、运输费、更换等全部费用）。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支持本国产品： □适用，本国产品标准适用于货物，包括政府采购货物项目和服务项目中涉及的货物。适用本国产品标准的货物具体是指《政府采购品目分类目录》中的货物类产品，但不包括其中的房屋和构筑物，文物和陈列品，图书 和档案，特种动植物，农林牧渔业产品，矿与矿物，电力、城市燃气、蒸汽和热水、水，食品、饮料和烟草原料，无形资产。 □不适用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 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评标委员会将根据投标文件中对技术部分的应答，对技术部分进行综合评价。 一般技术要求及服务要求共21项，达到或优于指标标准的，每项得1分；未达到指标标准不得分，共21分。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需提供产品的合法来源渠道证明材料或情况说明，每提供一项产品的合法证明材得2分， 满分10分。 备注：①投标人为所投产品的制造商，需提供情况说明，说明某一项产品为制造商自己生产 。 ②投标人为所投产品代理商或其他情况，产品来源渠道合法的证明材料包括但不限于原厂授权书、销售协议、代理协议、进货发票或投标人能证明产品来源渠道可靠的材料等证明材料其中任意一种。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1、评审内容 针对本项目提供完整的项目供货方案： 内容包含：①供货实施计划；②安装及调试方案；③培训方案；④应急预案等组织措施；⑤人员配备。 2、评审标准 ①完整性：方案须全面，对评审内容中的各项要求有详细描述及说明；②可实施性：切合本项目实际情况，实施步骤清晰、科学、合理； ③针对性：方案能够紧扣项目实际情况，内容全面、科学合理、详细具体。 3、赋分标准 ①供货实施计划每完全满足一个评审标准得2分，满分6分； ②安装及调试方案每完全满足一个评审标准得2分，满分6分； ③培训方案每完全满足一个评审标准得2分，满分6分； ④应急预案等组织措施每完全满足一个评审标准得2分，满分6分； ⑤人员配备每完全满足一个评审标准得2分，满分6分。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①维护保养时间安排每完全满足一个评审标准得0.5 分，满分1.5分；②备品备件计划每完全满足一个评审标准得0.5 分，满分1.5分； ③售后服务范围及保障措施每完全满足一个评审标准得0.5分，满分1.5分；④出现故障响应时间及措施每完全满足一个评审标准得0.5分，满分1.5分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供应商或生产厂家自2022年1月1日以来（以合同签订日期或中标（成交）通知书发放时间为准）的类似项目业绩情况，每个业绩得3分，最高得3分。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（小微企业、监狱企业或残疾人福利性单位用投标报价扣除后的价格参加评审。） （货物采购项目，既有本国产品又有非本国产品参与竞争的，依法对本国产品给予价格评审优惠，对本国产品的报价给予20%的价格扣除，用扣除后的价格参与评审，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未达到80%，不享受价格评审优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本国产品.docx</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详见附件：本国产品.docx</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