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版本号：ZCSP-合阳县-2025-00353.1B120260107001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学生公寓教学楼空调电路设备购置项目(二次)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ZCSP-合阳县-2025-00353.1B1</w:t>
      </w:r>
      <w:r>
        <w:br/>
      </w:r>
      <w:r>
        <w:br/>
      </w:r>
      <w:r>
        <w:br/>
      </w:r>
    </w:p>
    <w:p>
      <w:pPr>
        <w:pStyle w:val="null3"/>
        <w:jc w:val="center"/>
        <w:outlineLvl w:val="2"/>
      </w:pPr>
      <w:r>
        <w:rPr>
          <w:rFonts w:ascii="仿宋_GB2312" w:hAnsi="仿宋_GB2312" w:cs="仿宋_GB2312" w:eastAsia="仿宋_GB2312"/>
          <w:sz w:val="28"/>
          <w:b/>
        </w:rPr>
        <w:t>合阳县坊镇中学</w:t>
      </w:r>
    </w:p>
    <w:p>
      <w:pPr>
        <w:pStyle w:val="null3"/>
        <w:jc w:val="center"/>
        <w:outlineLvl w:val="2"/>
      </w:pPr>
      <w:r>
        <w:rPr>
          <w:rFonts w:ascii="仿宋_GB2312" w:hAnsi="仿宋_GB2312" w:cs="仿宋_GB2312" w:eastAsia="仿宋_GB2312"/>
          <w:sz w:val="28"/>
          <w:b/>
        </w:rPr>
        <w:t>陕西盛典日工程咨询有限公司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陕西盛典日工程咨询有限公司</w:t>
      </w:r>
      <w:r>
        <w:rPr>
          <w:rFonts w:ascii="仿宋_GB2312" w:hAnsi="仿宋_GB2312" w:cs="仿宋_GB2312" w:eastAsia="仿宋_GB2312"/>
        </w:rPr>
        <w:t>（以下简称“代理机构”）受</w:t>
      </w:r>
      <w:r>
        <w:rPr>
          <w:rFonts w:ascii="仿宋_GB2312" w:hAnsi="仿宋_GB2312" w:cs="仿宋_GB2312" w:eastAsia="仿宋_GB2312"/>
        </w:rPr>
        <w:t>合阳县坊镇中学</w:t>
      </w:r>
      <w:r>
        <w:rPr>
          <w:rFonts w:ascii="仿宋_GB2312" w:hAnsi="仿宋_GB2312" w:cs="仿宋_GB2312" w:eastAsia="仿宋_GB2312"/>
        </w:rPr>
        <w:t>委托，拟对</w:t>
      </w:r>
      <w:r>
        <w:rPr>
          <w:rFonts w:ascii="仿宋_GB2312" w:hAnsi="仿宋_GB2312" w:cs="仿宋_GB2312" w:eastAsia="仿宋_GB2312"/>
        </w:rPr>
        <w:t>学生公寓教学楼空调电路设备购置项目(二次)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ZCSP-合阳县-2025-00353.1B1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学生公寓教学楼空调电路设备购置项目(二次)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合阳县坊镇中学学生公寓教学楼空调电路设备购置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采购包1（学生公寓教学楼空调电路设备购置项目）：属于预留采购份额面向中小企业采购，预留比例为20%。</w:t>
      </w:r>
    </w:p>
    <w:p>
      <w:pPr>
        <w:pStyle w:val="null3"/>
      </w:pPr>
      <w:r>
        <w:rPr>
          <w:rFonts w:ascii="仿宋_GB2312" w:hAnsi="仿宋_GB2312" w:cs="仿宋_GB2312" w:eastAsia="仿宋_GB2312"/>
        </w:rPr>
        <w:t>供应商合同分包的，分包意向协议中中小企业预留比例为20%。（未进行合同分包的，供应商应当为中小企业）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具有良好的商业信誉和健全的财务会计制度：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财政部门认可的政府采购专业担保机构出具的投标担保函；</w:t>
      </w:r>
    </w:p>
    <w:p>
      <w:pPr>
        <w:pStyle w:val="null3"/>
      </w:pPr>
      <w:r>
        <w:rPr>
          <w:rFonts w:ascii="仿宋_GB2312" w:hAnsi="仿宋_GB2312" w:cs="仿宋_GB2312" w:eastAsia="仿宋_GB2312"/>
        </w:rPr>
        <w:t>3、税收缴纳证明：提供投标文件递交截止时间前6个月内任意一个月的缴费凭据，依法免税的单位应提供相关证明材料；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5、无重大违法记录声明：提供参加本次政府采购活动前三年内在经营活动中没有重大违法记录的书面声明</w:t>
      </w:r>
    </w:p>
    <w:p>
      <w:pPr>
        <w:pStyle w:val="null3"/>
      </w:pPr>
      <w:r>
        <w:rPr>
          <w:rFonts w:ascii="仿宋_GB2312" w:hAnsi="仿宋_GB2312" w:cs="仿宋_GB2312" w:eastAsia="仿宋_GB2312"/>
        </w:rPr>
        <w:t>6、履行合同承诺书：提供具有履行合同所必需的设备和专业技术能力的承诺书；</w:t>
      </w:r>
    </w:p>
    <w:p>
      <w:pPr>
        <w:pStyle w:val="null3"/>
      </w:pPr>
      <w:r>
        <w:rPr>
          <w:rFonts w:ascii="仿宋_GB2312" w:hAnsi="仿宋_GB2312" w:cs="仿宋_GB2312" w:eastAsia="仿宋_GB2312"/>
        </w:rPr>
        <w:t>7、信誉情况：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9、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合阳县坊镇中学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合阳县坊镇西大街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13572327681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陕西盛典日工程咨询有限公司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陕西省渭南市临渭区仓程路北段碧桂园翡翠公馆12幢商铺2层单元202号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弥婷婷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采购包1：574,500.00元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开户名称：陕西盛典日工程咨询有限公司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银行账号：806040601421008477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代理服务费收费标准：招标代理服务费以中标价为基数，参照国家计委颁发计价格[2002]1980号和国家发展和改革委员会办公厅颁发的发改办价格[2003]857号的有关规定执行。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合阳县坊镇中学</w:t>
      </w:r>
      <w:r>
        <w:rPr>
          <w:rFonts w:ascii="仿宋_GB2312" w:hAnsi="仿宋_GB2312" w:cs="仿宋_GB2312" w:eastAsia="仿宋_GB2312"/>
        </w:rPr>
        <w:t>和</w:t>
      </w:r>
      <w:r>
        <w:rPr>
          <w:rFonts w:ascii="仿宋_GB2312" w:hAnsi="仿宋_GB2312" w:cs="仿宋_GB2312" w:eastAsia="仿宋_GB2312"/>
        </w:rPr>
        <w:t>陕西盛典日工程咨询有限公司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合阳县坊镇中学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陕西盛典日工程咨询有限公司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合阳县坊镇中学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陕西盛典日工程咨询有限公司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采购包1：分包比例20%，分包履行的内容：提供的货物由中小企业制造；资质要求详见第4章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符合国家现行技术规范和标准，达到合格要求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联系人：弥婷婷</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地址：陕西省渭南市临渭区仓程路北段碧桂园翡翠公馆12幢商铺2层单元202号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合阳县坊镇中学学生公寓教学楼空调电路设备购置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574,500.00</w:t>
      </w:r>
    </w:p>
    <w:p>
      <w:pPr>
        <w:pStyle w:val="null3"/>
      </w:pPr>
      <w:r>
        <w:rPr>
          <w:rFonts w:ascii="仿宋_GB2312" w:hAnsi="仿宋_GB2312" w:cs="仿宋_GB2312" w:eastAsia="仿宋_GB2312"/>
        </w:rPr>
        <w:t>采购包最高限价（元）: 574,500.00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合阳县坊镇中学学生公寓教学楼空调电路设备购置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574,500.00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标的名称：合阳县坊镇中学学生公寓教学楼空调电路设备购置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2"/>
              <w:gridCol w:w="613"/>
              <w:gridCol w:w="873"/>
              <w:gridCol w:w="268"/>
              <w:gridCol w:w="244"/>
              <w:gridCol w:w="352"/>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品目</w:t>
                  </w:r>
                </w:p>
              </w:tc>
              <w:tc>
                <w:tcPr>
                  <w:tcW w:type="dxa" w:w="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空调及总线</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空调（挂式</w:t>
                  </w:r>
                  <w:r>
                    <w:rPr>
                      <w:rFonts w:ascii="仿宋_GB2312" w:hAnsi="仿宋_GB2312" w:cs="仿宋_GB2312" w:eastAsia="仿宋_GB2312"/>
                      <w:sz w:val="20"/>
                      <w:color w:val="000000"/>
                    </w:rPr>
                    <w:t>1.5匹）</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能效等级：</w:t>
                  </w:r>
                  <w:r>
                    <w:rPr>
                      <w:rFonts w:ascii="仿宋_GB2312" w:hAnsi="仿宋_GB2312" w:cs="仿宋_GB2312" w:eastAsia="仿宋_GB2312"/>
                      <w:sz w:val="20"/>
                      <w:color w:val="000000"/>
                    </w:rPr>
                    <w:t>1级；</w:t>
                  </w:r>
                </w:p>
                <w:p>
                  <w:pPr>
                    <w:pStyle w:val="null3"/>
                    <w:jc w:val="left"/>
                  </w:pPr>
                  <w:r>
                    <w:rPr>
                      <w:rFonts w:ascii="仿宋_GB2312" w:hAnsi="仿宋_GB2312" w:cs="仿宋_GB2312" w:eastAsia="仿宋_GB2312"/>
                      <w:sz w:val="20"/>
                      <w:color w:val="000000"/>
                    </w:rPr>
                    <w:t>额定制冷量</w:t>
                  </w:r>
                  <w:r>
                    <w:rPr>
                      <w:rFonts w:ascii="仿宋_GB2312" w:hAnsi="仿宋_GB2312" w:cs="仿宋_GB2312" w:eastAsia="仿宋_GB2312"/>
                      <w:sz w:val="20"/>
                      <w:color w:val="000000"/>
                    </w:rPr>
                    <w:t>(W)≥3510(150~5210)；</w:t>
                  </w:r>
                </w:p>
                <w:p>
                  <w:pPr>
                    <w:pStyle w:val="null3"/>
                    <w:jc w:val="left"/>
                  </w:pPr>
                  <w:r>
                    <w:rPr>
                      <w:rFonts w:ascii="仿宋_GB2312" w:hAnsi="仿宋_GB2312" w:cs="仿宋_GB2312" w:eastAsia="仿宋_GB2312"/>
                      <w:sz w:val="20"/>
                      <w:color w:val="000000"/>
                    </w:rPr>
                    <w:t>制冷功率</w:t>
                  </w:r>
                  <w:r>
                    <w:rPr>
                      <w:rFonts w:ascii="仿宋_GB2312" w:hAnsi="仿宋_GB2312" w:cs="仿宋_GB2312" w:eastAsia="仿宋_GB2312"/>
                      <w:sz w:val="20"/>
                      <w:color w:val="000000"/>
                    </w:rPr>
                    <w:t>(W)≤810(70~1850)；</w:t>
                  </w:r>
                </w:p>
                <w:p>
                  <w:pPr>
                    <w:pStyle w:val="null3"/>
                    <w:jc w:val="left"/>
                  </w:pPr>
                  <w:r>
                    <w:rPr>
                      <w:rFonts w:ascii="仿宋_GB2312" w:hAnsi="仿宋_GB2312" w:cs="仿宋_GB2312" w:eastAsia="仿宋_GB2312"/>
                      <w:sz w:val="20"/>
                      <w:color w:val="000000"/>
                    </w:rPr>
                    <w:t>额定制热量</w:t>
                  </w:r>
                  <w:r>
                    <w:rPr>
                      <w:rFonts w:ascii="仿宋_GB2312" w:hAnsi="仿宋_GB2312" w:cs="仿宋_GB2312" w:eastAsia="仿宋_GB2312"/>
                      <w:sz w:val="20"/>
                      <w:color w:val="000000"/>
                    </w:rPr>
                    <w:t>(W)≥5010(150~6790)；</w:t>
                  </w:r>
                </w:p>
                <w:p>
                  <w:pPr>
                    <w:pStyle w:val="null3"/>
                    <w:jc w:val="left"/>
                  </w:pPr>
                  <w:r>
                    <w:rPr>
                      <w:rFonts w:ascii="仿宋_GB2312" w:hAnsi="仿宋_GB2312" w:cs="仿宋_GB2312" w:eastAsia="仿宋_GB2312"/>
                      <w:sz w:val="20"/>
                      <w:color w:val="000000"/>
                    </w:rPr>
                    <w:t>制热功率</w:t>
                  </w:r>
                  <w:r>
                    <w:rPr>
                      <w:rFonts w:ascii="仿宋_GB2312" w:hAnsi="仿宋_GB2312" w:cs="仿宋_GB2312" w:eastAsia="仿宋_GB2312"/>
                      <w:sz w:val="20"/>
                      <w:color w:val="000000"/>
                    </w:rPr>
                    <w:t>(W)≤1250(70~2095)；</w:t>
                  </w:r>
                </w:p>
                <w:p>
                  <w:pPr>
                    <w:pStyle w:val="null3"/>
                    <w:jc w:val="left"/>
                  </w:pPr>
                  <w:r>
                    <w:rPr>
                      <w:rFonts w:ascii="仿宋_GB2312" w:hAnsi="仿宋_GB2312" w:cs="仿宋_GB2312" w:eastAsia="仿宋_GB2312"/>
                      <w:sz w:val="20"/>
                      <w:color w:val="000000"/>
                    </w:rPr>
                    <w:t>能效比：</w:t>
                  </w:r>
                  <w:r>
                    <w:rPr>
                      <w:rFonts w:ascii="仿宋_GB2312" w:hAnsi="仿宋_GB2312" w:cs="仿宋_GB2312" w:eastAsia="仿宋_GB2312"/>
                      <w:sz w:val="20"/>
                      <w:color w:val="000000"/>
                    </w:rPr>
                    <w:t>≥5.28；</w:t>
                  </w:r>
                </w:p>
                <w:p>
                  <w:pPr>
                    <w:pStyle w:val="null3"/>
                    <w:jc w:val="left"/>
                  </w:pPr>
                  <w:r>
                    <w:rPr>
                      <w:rFonts w:ascii="仿宋_GB2312" w:hAnsi="仿宋_GB2312" w:cs="仿宋_GB2312" w:eastAsia="仿宋_GB2312"/>
                      <w:sz w:val="20"/>
                      <w:color w:val="000000"/>
                    </w:rPr>
                    <w:t>循环风量：</w:t>
                  </w:r>
                  <w:r>
                    <w:rPr>
                      <w:rFonts w:ascii="仿宋_GB2312" w:hAnsi="仿宋_GB2312" w:cs="仿宋_GB2312" w:eastAsia="仿宋_GB2312"/>
                      <w:sz w:val="20"/>
                      <w:color w:val="000000"/>
                    </w:rPr>
                    <w:t>≥650m³/h；</w:t>
                  </w:r>
                </w:p>
                <w:p>
                  <w:pPr>
                    <w:pStyle w:val="null3"/>
                    <w:jc w:val="left"/>
                  </w:pPr>
                  <w:r>
                    <w:rPr>
                      <w:rFonts w:ascii="仿宋_GB2312" w:hAnsi="仿宋_GB2312" w:cs="仿宋_GB2312" w:eastAsia="仿宋_GB2312"/>
                      <w:sz w:val="20"/>
                      <w:color w:val="000000"/>
                    </w:rPr>
                    <w:t>室内机噪音</w:t>
                  </w:r>
                  <w:r>
                    <w:rPr>
                      <w:rFonts w:ascii="仿宋_GB2312" w:hAnsi="仿宋_GB2312" w:cs="仿宋_GB2312" w:eastAsia="仿宋_GB2312"/>
                      <w:sz w:val="20"/>
                      <w:color w:val="000000"/>
                    </w:rPr>
                    <w:t>dB(A)：≤18-36-41；</w:t>
                  </w:r>
                </w:p>
                <w:p>
                  <w:pPr>
                    <w:pStyle w:val="null3"/>
                    <w:jc w:val="left"/>
                  </w:pPr>
                  <w:r>
                    <w:rPr>
                      <w:rFonts w:ascii="仿宋_GB2312" w:hAnsi="仿宋_GB2312" w:cs="仿宋_GB2312" w:eastAsia="仿宋_GB2312"/>
                      <w:sz w:val="20"/>
                      <w:color w:val="000000"/>
                    </w:rPr>
                    <w:t>整机质保期</w:t>
                  </w:r>
                  <w:r>
                    <w:rPr>
                      <w:rFonts w:ascii="仿宋_GB2312" w:hAnsi="仿宋_GB2312" w:cs="仿宋_GB2312" w:eastAsia="仿宋_GB2312"/>
                      <w:sz w:val="20"/>
                      <w:color w:val="000000"/>
                    </w:rPr>
                    <w:t>6年，从安装验收合格之日起算。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空调室外机支架</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钢管焊接</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总配电柜</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1600*500*700mm</w:t>
                  </w:r>
                </w:p>
                <w:p>
                  <w:pPr>
                    <w:pStyle w:val="null3"/>
                    <w:jc w:val="left"/>
                  </w:pPr>
                  <w:r>
                    <w:rPr>
                      <w:rFonts w:ascii="仿宋_GB2312" w:hAnsi="仿宋_GB2312" w:cs="仿宋_GB2312" w:eastAsia="仿宋_GB2312"/>
                      <w:sz w:val="20"/>
                      <w:color w:val="000000"/>
                    </w:rPr>
                    <w:t>安装方式</w:t>
                  </w:r>
                  <w:r>
                    <w:rPr>
                      <w:rFonts w:ascii="仿宋_GB2312" w:hAnsi="仿宋_GB2312" w:cs="仿宋_GB2312" w:eastAsia="仿宋_GB2312"/>
                      <w:sz w:val="20"/>
                      <w:color w:val="000000"/>
                    </w:rPr>
                    <w:t>:落地式</w:t>
                  </w:r>
                </w:p>
                <w:p>
                  <w:pPr>
                    <w:pStyle w:val="null3"/>
                    <w:jc w:val="left"/>
                  </w:pPr>
                  <w:r>
                    <w:rPr>
                      <w:rFonts w:ascii="仿宋_GB2312" w:hAnsi="仿宋_GB2312" w:cs="仿宋_GB2312" w:eastAsia="仿宋_GB2312"/>
                      <w:sz w:val="20"/>
                      <w:color w:val="000000"/>
                    </w:rPr>
                    <w:t>内含</w:t>
                  </w:r>
                  <w:r>
                    <w:rPr>
                      <w:rFonts w:ascii="仿宋_GB2312" w:hAnsi="仿宋_GB2312" w:cs="仿宋_GB2312" w:eastAsia="仿宋_GB2312"/>
                      <w:sz w:val="20"/>
                      <w:color w:val="000000"/>
                    </w:rPr>
                    <w:t>:浪涌、漏电保护器、空开等</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铝芯电缆</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YJLV22-1*120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w:t>
                  </w:r>
                </w:p>
              </w:tc>
              <w:tc>
                <w:tcPr>
                  <w:tcW w:type="dxa" w:w="2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铝芯电缆</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YJLV22-4*50+1*25、含电缆头</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c>
                <w:tcPr>
                  <w:tcW w:type="dxa" w:w="2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6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路面开槽挖沟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350宽*600深</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w:t>
                  </w:r>
                </w:p>
              </w:tc>
              <w:tc>
                <w:tcPr>
                  <w:tcW w:type="dxa" w:w="2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6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电缆敷设</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YJV22-4*50+1*25</w:t>
                  </w:r>
                </w:p>
                <w:p>
                  <w:pPr>
                    <w:pStyle w:val="null3"/>
                    <w:jc w:val="left"/>
                  </w:pPr>
                  <w:r>
                    <w:rPr>
                      <w:rFonts w:ascii="仿宋_GB2312" w:hAnsi="仿宋_GB2312" w:cs="仿宋_GB2312" w:eastAsia="仿宋_GB2312"/>
                      <w:sz w:val="20"/>
                      <w:color w:val="000000"/>
                    </w:rPr>
                    <w:t>YJV22-1*120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w:t>
                  </w:r>
                </w:p>
              </w:tc>
              <w:tc>
                <w:tcPr>
                  <w:tcW w:type="dxa" w:w="2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6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电缆沟开挖、回填</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铺砂盖砖</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c>
                <w:tcPr>
                  <w:tcW w:type="dxa" w:w="2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6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电缆沟路面恢复</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350宽*200厚，混凝土路面</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134.75</w:t>
                  </w:r>
                </w:p>
              </w:tc>
              <w:tc>
                <w:tcPr>
                  <w:tcW w:type="dxa" w:w="2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垃圾外运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公寓楼</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总配电箱</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安装方式：壁挂式</w:t>
                  </w:r>
                </w:p>
                <w:p>
                  <w:pPr>
                    <w:pStyle w:val="null3"/>
                    <w:jc w:val="left"/>
                  </w:pPr>
                  <w:r>
                    <w:rPr>
                      <w:rFonts w:ascii="仿宋_GB2312" w:hAnsi="仿宋_GB2312" w:cs="仿宋_GB2312" w:eastAsia="仿宋_GB2312"/>
                      <w:sz w:val="20"/>
                      <w:color w:val="000000"/>
                    </w:rPr>
                    <w:t>内含：漏电保护器、空开等</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1楼配电箱</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安装方式：壁挂式</w:t>
                  </w:r>
                </w:p>
                <w:p>
                  <w:pPr>
                    <w:pStyle w:val="null3"/>
                    <w:jc w:val="left"/>
                  </w:pPr>
                  <w:r>
                    <w:rPr>
                      <w:rFonts w:ascii="仿宋_GB2312" w:hAnsi="仿宋_GB2312" w:cs="仿宋_GB2312" w:eastAsia="仿宋_GB2312"/>
                      <w:sz w:val="20"/>
                      <w:color w:val="000000"/>
                    </w:rPr>
                    <w:t>内含：漏电保护器、空开等</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2楼配电箱</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安装方式：壁挂式</w:t>
                  </w:r>
                </w:p>
                <w:p>
                  <w:pPr>
                    <w:pStyle w:val="null3"/>
                    <w:jc w:val="left"/>
                  </w:pPr>
                  <w:r>
                    <w:rPr>
                      <w:rFonts w:ascii="仿宋_GB2312" w:hAnsi="仿宋_GB2312" w:cs="仿宋_GB2312" w:eastAsia="仿宋_GB2312"/>
                      <w:sz w:val="20"/>
                      <w:color w:val="000000"/>
                    </w:rPr>
                    <w:t>内含：漏电保护器、空开等</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3楼配电箱</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安装方式：壁挂式</w:t>
                  </w:r>
                </w:p>
                <w:p>
                  <w:pPr>
                    <w:pStyle w:val="null3"/>
                    <w:jc w:val="left"/>
                  </w:pPr>
                  <w:r>
                    <w:rPr>
                      <w:rFonts w:ascii="仿宋_GB2312" w:hAnsi="仿宋_GB2312" w:cs="仿宋_GB2312" w:eastAsia="仿宋_GB2312"/>
                      <w:sz w:val="20"/>
                      <w:color w:val="000000"/>
                    </w:rPr>
                    <w:t>内含：漏电保护器、空开等</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电表</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插卡式电表</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现金充值器</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电表现金充值器</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空调插座</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3孔、距地2.0m明装</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铜芯电缆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YJV-3*25+1*10、含电缆头</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铜芯电缆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YJV-1*25、含电缆头</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铜芯电缆</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YJV-3*35+1*16、含电缆头</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线槽敷设</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PVC线槽100、线路敷设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249</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线槽敷设</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PVC线槽50、线路敷设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线槽敷设</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PVC线槽24、线路敷设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2.14</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线槽敷设</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PVC线槽32、线路敷设</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铜芯电线</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线槽内敷设、</w:t>
                  </w:r>
                  <w:r>
                    <w:rPr>
                      <w:rFonts w:ascii="仿宋_GB2312" w:hAnsi="仿宋_GB2312" w:cs="仿宋_GB2312" w:eastAsia="仿宋_GB2312"/>
                      <w:sz w:val="20"/>
                      <w:color w:val="000000"/>
                    </w:rPr>
                    <w:t>BV-25mm²</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2.16</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铜芯电线</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线槽内敷设、</w:t>
                  </w:r>
                  <w:r>
                    <w:rPr>
                      <w:rFonts w:ascii="仿宋_GB2312" w:hAnsi="仿宋_GB2312" w:cs="仿宋_GB2312" w:eastAsia="仿宋_GB2312"/>
                      <w:sz w:val="20"/>
                      <w:color w:val="000000"/>
                    </w:rPr>
                    <w:t>BV-4mm²</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2.17</w:t>
                  </w:r>
                </w:p>
              </w:tc>
              <w:tc>
                <w:tcPr>
                  <w:tcW w:type="dxa" w:w="6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r>
              <w:tc>
                <w:tcPr>
                  <w:tcW w:type="dxa" w:w="2552"/>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备注：</w:t>
                  </w:r>
                  <w:r>
                    <w:rPr>
                      <w:rFonts w:ascii="仿宋_GB2312" w:hAnsi="仿宋_GB2312" w:cs="仿宋_GB2312" w:eastAsia="仿宋_GB2312"/>
                      <w:sz w:val="20"/>
                      <w:b/>
                      <w:color w:val="000000"/>
                    </w:rPr>
                    <w:t>1.本项目核心产品：空调。</w:t>
                  </w:r>
                </w:p>
                <w:p>
                  <w:pPr>
                    <w:pStyle w:val="null3"/>
                    <w:jc w:val="left"/>
                  </w:pPr>
                  <w:r>
                    <w:rPr>
                      <w:rFonts w:ascii="仿宋_GB2312" w:hAnsi="仿宋_GB2312" w:cs="仿宋_GB2312" w:eastAsia="仿宋_GB2312"/>
                      <w:sz w:val="20"/>
                      <w:b/>
                      <w:color w:val="000000"/>
                    </w:rPr>
                    <w:t>2.本项目为部分面向中小企业采购，预留形式为合同分包，预留份额20%，具体详见采购内容。</w:t>
                  </w:r>
                </w:p>
                <w:p>
                  <w:pPr>
                    <w:pStyle w:val="null3"/>
                    <w:jc w:val="left"/>
                  </w:pPr>
                  <w:r>
                    <w:rPr>
                      <w:rFonts w:ascii="仿宋_GB2312" w:hAnsi="仿宋_GB2312" w:cs="仿宋_GB2312" w:eastAsia="仿宋_GB2312"/>
                      <w:sz w:val="20"/>
                      <w:b/>
                      <w:color w:val="000000"/>
                    </w:rPr>
                    <w:t>3.属于国家强制3C认证的产品、强制节能的产品需提供认证证书。</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合阳县坊镇中学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货物全部运到采购人指定地方，安装完毕并经终验合格后，卖方持《终验合格单》原件在买方处办理百分之九十五(95%)货款的支付手续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本项目经审计部门审计后，最终按照审计价支付剩余货款，乙方按照最终审计价提供对应金额的发票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由采购人和供应商共同对项目整体进行验收。其内容包括确认产品的产地、规格、型号和数量，对其产品技术指标、性能参数是否达到现行国家有关验收规范“合格”标准进行逐项检查。 1.所验产品的指标、性能参数通过验收达不到招标文件要求和投标应文件承诺的，或在使用中发现采购人不能容忍的缺陷等，将视为产品验收不合格，供应商应无条件免费更换或退货。   2.若发现供应商有弄虚作假的，在招标阶段故意或随意夸大产品技术性能，供应商应无条件退货，并赔偿采购人相应的损失。   3.验收标准:按招标文件、投标文件及澄清函等技术指标进行验收。各项指标均应符合验收标准及要求。 4.验收合格后，填写验收单，双方签字生效。   5.验收依据:a)合同文本;b)投标文件及澄清函、招标文件;c)国家和行业制定的相应的标准和规范。d)产品验收清单(注明品名、数量、规格和原产地或生产厂家)。 </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1）供应商应设有可承担维修职能的公司、全资分公司或办事处，并驻守多名维护技术人员，并提供地点、联系人（常驻工程师）及联系电话（服务热线），随时解答各种疑问（需提供相关证明材料）。 2）供应商应提供派驻的维护技术人员的数量、构成、能力、资质等情况。 3）服务方式：现场服务，整体验收合格后质量保证期为不低于1年。在质量保证期内发生故障，维修响应时间≤2小时，维修工程师抵达现场时间≤12小时。修理费用由供应商负责。 4）所提供的服务内容应严格按国家最新发布的规范标准执行，符合采购人要求，如发生质量问题由供应商承担全部责任。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 未按合同或招标文件要求提供的产品或者服务，质量不能满足采购人技术要求，采购单位有权终止合同，甚至对供应商违约行为进行追究。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成交）供应商在中标（成交）结果公告发布后3个工作日内，向招标代理公司提供叁套纸质投标文件（经编标工具生成的文件直接打印并加盖公章），递交的纸质版文件内容确保与线上电子文件保持一致，不允许修改和补充。 2、各供应商转保证金请备注项目名称+保证金。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财政部门认可的政府采购专业担保机构出具的投标担保函；</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供应商为本项目提供的资格证明文件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供应商为本项目提供的资格证明文件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要求获得采购合同的供应商将20%分包给一家或多家中小企业或参与的供应商（联合体）提供的货物全部由符合政策要求的中小企业制造。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开标一览表1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非强制节能、环境标志产品清单 投标方案 分项报价表 开标一览表1 项目业绩一览表 中小企业声明函 商务应答表 产品技术参数表 投标函 残疾人福利性单位声明函 标的清单 陕西省政府采购供应商拒绝政府采购领域商业贿赂承诺书 投标文件封面 供应商为本项目提供的资格证明文件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非强制节能、环境标志产品清单 投标方案 分项报价表 开标一览表1 项目业绩一览表 中小企业声明函 商务应答表 产品技术参数表 投标函 残疾人福利性单位声明函 标的清单 陕西省政府采购供应商拒绝政府采购领域商业贿赂承诺书 投标文件封面 供应商为本项目提供的资格证明文件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分项报价表 开标一览表1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开标一览表1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供应商为本项目提供的资格证明文件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完全符合、响应招标文件要求的得10分；空调参数中每有一条参数正偏离加1分，最多加5分。 （技术指标提供技术支持资料，包括但不限于检测报告、官网和功能截图、彩页、说明书等相关资料）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对交货期、付款方式、质保期等商务要求逐一进行响应，完全响应得2分，每优于1项加0.5分，本项最多得3分。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一、评审内容：针对本项目提供项目实施方案，包括但不限于：①供货方案；②管理制度；③供货组织架构与人员安排；④产品运输、安装、派送方案⑤项目验收方案；⑥安装调试检测方案。 二、评审标准：提供详细、合理、科学可行的方案，方案符合本项目采购需求有针对性，以上6项，以序号①、②、③、④、⑤、⑥为项数，内容无缺项、无漏项且无缺陷的得12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属于清单内产品的证明资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非强制节能、环境标志产品清单</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一、评审内容：针对本项目的质量保障措施包含不限于： ①产品质量，渠道来源正规，提供产品来源渠道证明（不限于销售协议/代理协议/原厂授权等）；②提供核心产品由第三方检测机构出具的产品质量检测报告；③采购环节质量控制；④包装保存运输等环节的质量控制；⑤质量安全管理方案。 二、评审标准：提供详细、合理、科学可行的方案，方案符合本项目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一、评审内容：提供项目进度方案，包括但不限于：①采购时间计划；②运输路线计划；③响应的及时性。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自2022年10月1日以来（以合同签订时间为准），供应商具有所投产品销售业绩，每提供1个合同得2分，满分6分，得满为止。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一、评审内容：包含但不限于：①售后人员配置及安排计划；②培训方案；③售后服务承诺及措施；④售后服务响应时间。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开标一览表1</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详见附件：非强制节能、环境标志产品清单</w:t>
      </w:r>
    </w:p>
    <w:p>
      <w:pPr>
        <w:pStyle w:val="null3"/>
        <w:ind w:firstLine="960"/>
      </w:pPr>
      <w:r>
        <w:rPr>
          <w:rFonts w:ascii="仿宋_GB2312" w:hAnsi="仿宋_GB2312" w:cs="仿宋_GB2312" w:eastAsia="仿宋_GB2312"/>
        </w:rPr>
        <w:t>详见附件：开标一览表1</w:t>
      </w:r>
    </w:p>
    <w:p>
      <w:pPr>
        <w:pStyle w:val="null3"/>
        <w:ind w:firstLine="960"/>
      </w:pPr>
      <w:r>
        <w:rPr>
          <w:rFonts w:ascii="仿宋_GB2312" w:hAnsi="仿宋_GB2312" w:cs="仿宋_GB2312" w:eastAsia="仿宋_GB2312"/>
        </w:rPr>
        <w:t>详见附件：供应商为本项目提供的资格证明文件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详见附件：项目业绩一览表</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