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版本号：JZZB2026-101020260213001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智慧社区警务建设项目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JZZB2026-1010</w:t>
      </w:r>
      <w:r>
        <w:br/>
      </w:r>
      <w:r>
        <w:br/>
      </w:r>
      <w:r>
        <w:br/>
      </w:r>
    </w:p>
    <w:p>
      <w:pPr>
        <w:pStyle w:val="null3"/>
        <w:jc w:val="center"/>
        <w:outlineLvl w:val="2"/>
      </w:pPr>
      <w:r>
        <w:rPr>
          <w:rFonts w:ascii="仿宋_GB2312" w:hAnsi="仿宋_GB2312" w:cs="仿宋_GB2312" w:eastAsia="仿宋_GB2312"/>
          <w:sz w:val="28"/>
          <w:b/>
        </w:rPr>
        <w:t>合阳县公安局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合阳县公安局</w:t>
      </w:r>
      <w:r>
        <w:rPr>
          <w:rFonts w:ascii="仿宋_GB2312" w:hAnsi="仿宋_GB2312" w:cs="仿宋_GB2312" w:eastAsia="仿宋_GB2312"/>
        </w:rPr>
        <w:t>委托，拟对</w:t>
      </w:r>
      <w:r>
        <w:rPr>
          <w:rFonts w:ascii="仿宋_GB2312" w:hAnsi="仿宋_GB2312" w:cs="仿宋_GB2312" w:eastAsia="仿宋_GB2312"/>
        </w:rPr>
        <w:t>智慧社区警务建设项目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智慧社区警务建设项目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智慧社区警务建设项目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1、授权书：法定代表人直接参加磋商的，须出具法人身份证明及身份证复印件；法定代表人授权代表参加磋商的，须出具法定代表人授权书及授权代表身份证复印件；</w:t>
      </w:r>
    </w:p>
    <w:p>
      <w:pPr>
        <w:pStyle w:val="null3"/>
      </w:pPr>
      <w:r>
        <w:rPr>
          <w:rFonts w:ascii="仿宋_GB2312" w:hAnsi="仿宋_GB2312" w:cs="仿宋_GB2312" w:eastAsia="仿宋_GB2312"/>
        </w:rPr>
        <w:t>2、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合阳县城关街道办九龙大道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15353959270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15829663649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合阳县公安局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联系人：卢荣丹</w:t>
      </w:r>
    </w:p>
    <w:p>
      <w:pPr>
        <w:pStyle w:val="null3"/>
      </w:pPr>
      <w:r>
        <w:rPr>
          <w:rFonts w:ascii="仿宋_GB2312" w:hAnsi="仿宋_GB2312" w:cs="仿宋_GB2312" w:eastAsia="仿宋_GB2312"/>
        </w:rPr>
        <w:t>联系电话：15829663649</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智慧社区警务建设项目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498,000.00</w:t>
      </w:r>
    </w:p>
    <w:p>
      <w:pPr>
        <w:pStyle w:val="null3"/>
      </w:pPr>
      <w:r>
        <w:rPr>
          <w:rFonts w:ascii="仿宋_GB2312" w:hAnsi="仿宋_GB2312" w:cs="仿宋_GB2312" w:eastAsia="仿宋_GB2312"/>
        </w:rPr>
        <w:t>采购包最高限价（元）: 498,000.00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智慧社区警务建设项目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498,000.00</w:t>
            </w:r>
          </w:p>
        </w:tc>
        <w:tc>
          <w:tcPr>
            <w:tcW w:type="dxa" w:w="831"/>
          </w:tcPr>
          <w:p>
            <w:pPr>
              <w:pStyle w:val="null3"/>
            </w:pPr>
            <w:r>
              <w:rPr>
                <w:rFonts w:ascii="仿宋_GB2312" w:hAnsi="仿宋_GB2312" w:cs="仿宋_GB2312" w:eastAsia="仿宋_GB2312"/>
              </w:rPr>
              <w:t>期</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标的名称：智慧社区警务建设项目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0"/>
              <w:gridCol w:w="348"/>
              <w:gridCol w:w="1360"/>
              <w:gridCol w:w="280"/>
              <w:gridCol w:w="176"/>
              <w:gridCol w:w="248"/>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参数要求</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合阳社区警务系统互联网端平台</w:t>
                  </w:r>
                </w:p>
              </w:tc>
              <w:tc>
                <w:tcPr>
                  <w:tcW w:type="dxa" w:w="1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1.平台支持信息审核中心：</w:t>
                  </w:r>
                  <w:r>
                    <w:br/>
                  </w:r>
                  <w:r>
                    <w:rPr>
                      <w:rFonts w:ascii="仿宋_GB2312" w:hAnsi="仿宋_GB2312" w:cs="仿宋_GB2312" w:eastAsia="仿宋_GB2312"/>
                      <w:sz w:val="21"/>
                      <w:color w:val="000000"/>
                    </w:rPr>
                    <w:t>审核居民上报的突发事件、安全隐患等信息，对可自行处理的事件进行分配和跟踪</w:t>
                  </w:r>
                  <w:r>
                    <w:br/>
                  </w:r>
                  <w:r>
                    <w:rPr>
                      <w:rFonts w:ascii="仿宋_GB2312" w:hAnsi="仿宋_GB2312" w:cs="仿宋_GB2312" w:eastAsia="仿宋_GB2312"/>
                      <w:sz w:val="21"/>
                      <w:color w:val="000000"/>
                    </w:rPr>
                    <w:t>对需要转公安处理的事件进行标记和上报。</w:t>
                  </w:r>
                  <w:r>
                    <w:br/>
                  </w:r>
                  <w:r>
                    <w:rPr>
                      <w:rFonts w:ascii="仿宋_GB2312" w:hAnsi="仿宋_GB2312" w:cs="仿宋_GB2312" w:eastAsia="仿宋_GB2312"/>
                      <w:sz w:val="21"/>
                      <w:color w:val="000000"/>
                    </w:rPr>
                    <w:t>2.支持数据统计分析：</w:t>
                  </w:r>
                  <w:r>
                    <w:br/>
                  </w:r>
                  <w:r>
                    <w:rPr>
                      <w:rFonts w:ascii="仿宋_GB2312" w:hAnsi="仿宋_GB2312" w:cs="仿宋_GB2312" w:eastAsia="仿宋_GB2312"/>
                      <w:sz w:val="21"/>
                      <w:color w:val="000000"/>
                    </w:rPr>
                    <w:t>辖区信息上报统计（按类型、区域、时间）</w:t>
                  </w:r>
                  <w:r>
                    <w:rPr>
                      <w:rFonts w:ascii="仿宋_GB2312" w:hAnsi="仿宋_GB2312" w:cs="仿宋_GB2312" w:eastAsia="仿宋_GB2312"/>
                      <w:sz w:val="21"/>
                      <w:color w:val="000000"/>
                    </w:rPr>
                    <w:t>,事件处理进度.跟踪与可视化展示,居民参与度热力图分析.</w:t>
                  </w:r>
                  <w:r>
                    <w:br/>
                  </w:r>
                  <w:r>
                    <w:rPr>
                      <w:rFonts w:ascii="仿宋_GB2312" w:hAnsi="仿宋_GB2312" w:cs="仿宋_GB2312" w:eastAsia="仿宋_GB2312"/>
                      <w:sz w:val="21"/>
                      <w:color w:val="000000"/>
                    </w:rPr>
                    <w:t>3.支持通知公告管理：</w:t>
                  </w:r>
                  <w:r>
                    <w:br/>
                  </w:r>
                  <w:r>
                    <w:rPr>
                      <w:rFonts w:ascii="仿宋_GB2312" w:hAnsi="仿宋_GB2312" w:cs="仿宋_GB2312" w:eastAsia="仿宋_GB2312"/>
                      <w:sz w:val="21"/>
                      <w:color w:val="000000"/>
                    </w:rPr>
                    <w:t>发布反诈宣传、治安通知等公共信息。管理紧急事件通知模板，设置信息推送规则。</w:t>
                  </w:r>
                  <w:r>
                    <w:br/>
                  </w:r>
                  <w:r>
                    <w:rPr>
                      <w:rFonts w:ascii="仿宋_GB2312" w:hAnsi="仿宋_GB2312" w:cs="仿宋_GB2312" w:eastAsia="仿宋_GB2312"/>
                      <w:sz w:val="21"/>
                      <w:color w:val="000000"/>
                    </w:rPr>
                    <w:t>4.支持用户管理：</w:t>
                  </w:r>
                  <w:r>
                    <w:br/>
                  </w:r>
                  <w:r>
                    <w:rPr>
                      <w:rFonts w:ascii="仿宋_GB2312" w:hAnsi="仿宋_GB2312" w:cs="仿宋_GB2312" w:eastAsia="仿宋_GB2312"/>
                      <w:sz w:val="21"/>
                      <w:color w:val="000000"/>
                    </w:rPr>
                    <w:t>管理辖区居民账号信息，</w:t>
                  </w:r>
                  <w:r>
                    <w:br/>
                  </w:r>
                  <w:r>
                    <w:rPr>
                      <w:rFonts w:ascii="仿宋_GB2312" w:hAnsi="仿宋_GB2312" w:cs="仿宋_GB2312" w:eastAsia="仿宋_GB2312"/>
                      <w:sz w:val="21"/>
                      <w:color w:val="000000"/>
                    </w:rPr>
                    <w:t>网格员权限分配与管理。</w:t>
                  </w:r>
                  <w:r>
                    <w:br/>
                  </w:r>
                  <w:r>
                    <w:rPr>
                      <w:rFonts w:ascii="仿宋_GB2312" w:hAnsi="仿宋_GB2312" w:cs="仿宋_GB2312" w:eastAsia="仿宋_GB2312"/>
                      <w:sz w:val="21"/>
                      <w:color w:val="000000"/>
                    </w:rPr>
                    <w:t>用户行为日志审计。</w:t>
                  </w:r>
                  <w:r>
                    <w:br/>
                  </w:r>
                  <w:r>
                    <w:rPr>
                      <w:rFonts w:ascii="仿宋_GB2312" w:hAnsi="仿宋_GB2312" w:cs="仿宋_GB2312" w:eastAsia="仿宋_GB2312"/>
                      <w:sz w:val="21"/>
                      <w:color w:val="000000"/>
                    </w:rPr>
                    <w:t>5.支持系统对接：</w:t>
                  </w:r>
                  <w:r>
                    <w:br/>
                  </w:r>
                  <w:r>
                    <w:rPr>
                      <w:rFonts w:ascii="仿宋_GB2312" w:hAnsi="仿宋_GB2312" w:cs="仿宋_GB2312" w:eastAsia="仿宋_GB2312"/>
                      <w:sz w:val="21"/>
                      <w:color w:val="000000"/>
                    </w:rPr>
                    <w:t>与小程序</w:t>
                  </w:r>
                  <w:r>
                    <w:rPr>
                      <w:rFonts w:ascii="仿宋_GB2312" w:hAnsi="仿宋_GB2312" w:cs="仿宋_GB2312" w:eastAsia="仿宋_GB2312"/>
                      <w:sz w:val="21"/>
                      <w:color w:val="000000"/>
                    </w:rPr>
                    <w:t>API对接，</w:t>
                  </w:r>
                  <w:r>
                    <w:br/>
                  </w:r>
                  <w:r>
                    <w:rPr>
                      <w:rFonts w:ascii="仿宋_GB2312" w:hAnsi="仿宋_GB2312" w:cs="仿宋_GB2312" w:eastAsia="仿宋_GB2312"/>
                      <w:sz w:val="21"/>
                      <w:color w:val="000000"/>
                    </w:rPr>
                    <w:t>与公安内网渭南市智慧社区平台对接</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包含部署及维护（维护期</w:t>
                  </w:r>
                  <w:r>
                    <w:rPr>
                      <w:rFonts w:ascii="仿宋_GB2312" w:hAnsi="仿宋_GB2312" w:cs="仿宋_GB2312" w:eastAsia="仿宋_GB2312"/>
                      <w:sz w:val="21"/>
                      <w:color w:val="000000"/>
                    </w:rPr>
                    <w:t>3年）</w:t>
                  </w: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合阳社区警务小程序</w:t>
                  </w:r>
                </w:p>
              </w:tc>
              <w:tc>
                <w:tcPr>
                  <w:tcW w:type="dxa" w:w="1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1.提供扫码门牌服务：</w:t>
                  </w:r>
                  <w:r>
                    <w:br/>
                  </w:r>
                  <w:r>
                    <w:rPr>
                      <w:rFonts w:ascii="仿宋_GB2312" w:hAnsi="仿宋_GB2312" w:cs="仿宋_GB2312" w:eastAsia="仿宋_GB2312"/>
                      <w:sz w:val="21"/>
                      <w:color w:val="000000"/>
                    </w:rPr>
                    <w:t>支持扫描二维码获取标准地址信息，自动定位当前上报位置。</w:t>
                  </w:r>
                  <w:r>
                    <w:br/>
                  </w:r>
                  <w:r>
                    <w:rPr>
                      <w:rFonts w:ascii="仿宋_GB2312" w:hAnsi="仿宋_GB2312" w:cs="仿宋_GB2312" w:eastAsia="仿宋_GB2312"/>
                      <w:sz w:val="21"/>
                      <w:color w:val="000000"/>
                    </w:rPr>
                    <w:t>2.提供信息上报功能：</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"一标多实"信息登记（人口、房屋、单位），安全隐患上报（消防、治安、环境）突发事件实时上报（支持图片/视频）。</w:t>
                  </w:r>
                  <w:r>
                    <w:br/>
                  </w:r>
                  <w:r>
                    <w:rPr>
                      <w:rFonts w:ascii="仿宋_GB2312" w:hAnsi="仿宋_GB2312" w:cs="仿宋_GB2312" w:eastAsia="仿宋_GB2312"/>
                      <w:sz w:val="21"/>
                      <w:color w:val="000000"/>
                    </w:rPr>
                    <w:t>3.提供政务服务：</w:t>
                  </w:r>
                  <w:r>
                    <w:br/>
                  </w:r>
                  <w:r>
                    <w:rPr>
                      <w:rFonts w:ascii="仿宋_GB2312" w:hAnsi="仿宋_GB2312" w:cs="仿宋_GB2312" w:eastAsia="仿宋_GB2312"/>
                      <w:sz w:val="21"/>
                      <w:color w:val="000000"/>
                    </w:rPr>
                    <w:t>支持居住证在线申请，流动人口登记自助办理。</w:t>
                  </w:r>
                  <w:r>
                    <w:br/>
                  </w:r>
                  <w:r>
                    <w:rPr>
                      <w:rFonts w:ascii="仿宋_GB2312" w:hAnsi="仿宋_GB2312" w:cs="仿宋_GB2312" w:eastAsia="仿宋_GB2312"/>
                      <w:sz w:val="21"/>
                      <w:color w:val="000000"/>
                    </w:rPr>
                    <w:t>4.提供信息查询服务：</w:t>
                  </w:r>
                  <w:r>
                    <w:br/>
                  </w:r>
                  <w:r>
                    <w:rPr>
                      <w:rFonts w:ascii="仿宋_GB2312" w:hAnsi="仿宋_GB2312" w:cs="仿宋_GB2312" w:eastAsia="仿宋_GB2312"/>
                      <w:sz w:val="21"/>
                      <w:color w:val="000000"/>
                    </w:rPr>
                    <w:t>支持反诈宣传知识库，紧急事件通知（如走失人员、车辆协查），个人业务办理进度查询。</w:t>
                  </w:r>
                  <w:r>
                    <w:br/>
                  </w:r>
                  <w:r>
                    <w:rPr>
                      <w:rFonts w:ascii="仿宋_GB2312" w:hAnsi="仿宋_GB2312" w:cs="仿宋_GB2312" w:eastAsia="仿宋_GB2312"/>
                      <w:sz w:val="21"/>
                      <w:color w:val="000000"/>
                    </w:rPr>
                    <w:t>5.提供警民互动：</w:t>
                  </w:r>
                  <w:r>
                    <w:br/>
                  </w:r>
                  <w:r>
                    <w:rPr>
                      <w:rFonts w:ascii="仿宋_GB2312" w:hAnsi="仿宋_GB2312" w:cs="仿宋_GB2312" w:eastAsia="仿宋_GB2312"/>
                      <w:sz w:val="21"/>
                      <w:color w:val="000000"/>
                    </w:rPr>
                    <w:t>支持一键报警功能，民警联系方式查询，满意度评价系统。</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包含部署及维护（维护期</w:t>
                  </w:r>
                  <w:r>
                    <w:rPr>
                      <w:rFonts w:ascii="仿宋_GB2312" w:hAnsi="仿宋_GB2312" w:cs="仿宋_GB2312" w:eastAsia="仿宋_GB2312"/>
                      <w:sz w:val="21"/>
                      <w:color w:val="000000"/>
                    </w:rPr>
                    <w:t>3年）</w:t>
                  </w: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vMerge/>
                  <w:tcBorders>
                    <w:top w:val="none" w:color="000000" w:sz="4"/>
                    <w:left w:val="single" w:color="000000" w:sz="4"/>
                    <w:bottom w:val="singl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136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二维码门牌</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根据省厅标准地址库对应房屋信息对应制作唯一安全可靠的铝制二维码门牌。</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互联网专线服务</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3年百兆固定ip互联网数字专线</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包含部署及维护（维护期</w:t>
                  </w:r>
                  <w:r>
                    <w:rPr>
                      <w:rFonts w:ascii="仿宋_GB2312" w:hAnsi="仿宋_GB2312" w:cs="仿宋_GB2312" w:eastAsia="仿宋_GB2312"/>
                      <w:sz w:val="21"/>
                      <w:color w:val="000000"/>
                    </w:rPr>
                    <w:t>3年）</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1.CPU：≥2颗国产CPU， 每颗CPU核心数≥12核，每颗CPU主频≥2.2GHz，大于等于24个物理核心，符合国家信创要求；</w:t>
                  </w:r>
                  <w:r>
                    <w:br/>
                  </w:r>
                  <w:r>
                    <w:rPr>
                      <w:rFonts w:ascii="仿宋_GB2312" w:hAnsi="仿宋_GB2312" w:cs="仿宋_GB2312" w:eastAsia="仿宋_GB2312"/>
                      <w:sz w:val="21"/>
                      <w:color w:val="000000"/>
                    </w:rPr>
                    <w:t>2.内存：配置≥32GB DDR4 内存，具备内存ECC保护、内存镜像、内存热备；</w:t>
                  </w:r>
                  <w:r>
                    <w:br/>
                  </w:r>
                  <w:r>
                    <w:rPr>
                      <w:rFonts w:ascii="仿宋_GB2312" w:hAnsi="仿宋_GB2312" w:cs="仿宋_GB2312" w:eastAsia="仿宋_GB2312"/>
                      <w:sz w:val="21"/>
                      <w:color w:val="000000"/>
                    </w:rPr>
                    <w:t>3.硬盘：≥配置1块4T企业级SATA硬盘硬盘;</w:t>
                  </w:r>
                  <w:r>
                    <w:br/>
                  </w:r>
                  <w:r>
                    <w:rPr>
                      <w:rFonts w:ascii="仿宋_GB2312" w:hAnsi="仿宋_GB2312" w:cs="仿宋_GB2312" w:eastAsia="仿宋_GB2312"/>
                      <w:sz w:val="21"/>
                      <w:color w:val="000000"/>
                    </w:rPr>
                    <w:t>4.网卡：配置≥2个千兆以太网接口，具备网络唤醒、网络冗余、负载均衡；</w:t>
                  </w:r>
                  <w:r>
                    <w:br/>
                  </w:r>
                  <w:r>
                    <w:rPr>
                      <w:rFonts w:ascii="仿宋_GB2312" w:hAnsi="仿宋_GB2312" w:cs="仿宋_GB2312" w:eastAsia="仿宋_GB2312"/>
                      <w:sz w:val="21"/>
                      <w:color w:val="000000"/>
                    </w:rPr>
                    <w:t>5.电源：配置热插拔1+1冗余电源； 机架安装导轨及电源线。</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18U服务器机柜，尺寸约1000x600x600mm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1.管理口≥1个</w:t>
                  </w:r>
                </w:p>
                <w:p>
                  <w:pPr>
                    <w:pStyle w:val="null3"/>
                    <w:jc w:val="left"/>
                  </w:pPr>
                  <w:r>
                    <w:rPr>
                      <w:rFonts w:ascii="仿宋_GB2312" w:hAnsi="仿宋_GB2312" w:cs="仿宋_GB2312" w:eastAsia="仿宋_GB2312"/>
                      <w:sz w:val="21"/>
                      <w:color w:val="000000"/>
                    </w:rPr>
                    <w:t>2.千兆电口≥4个</w:t>
                  </w:r>
                </w:p>
                <w:p>
                  <w:pPr>
                    <w:pStyle w:val="null3"/>
                    <w:jc w:val="left"/>
                  </w:pPr>
                  <w:r>
                    <w:rPr>
                      <w:rFonts w:ascii="仿宋_GB2312" w:hAnsi="仿宋_GB2312" w:cs="仿宋_GB2312" w:eastAsia="仿宋_GB2312"/>
                      <w:sz w:val="21"/>
                      <w:color w:val="000000"/>
                    </w:rPr>
                    <w:t>3.万兆光口≥2个</w:t>
                  </w:r>
                </w:p>
                <w:p>
                  <w:pPr>
                    <w:pStyle w:val="null3"/>
                    <w:jc w:val="left"/>
                  </w:pPr>
                  <w:r>
                    <w:rPr>
                      <w:rFonts w:ascii="仿宋_GB2312" w:hAnsi="仿宋_GB2312" w:cs="仿宋_GB2312" w:eastAsia="仿宋_GB2312"/>
                      <w:sz w:val="21"/>
                      <w:color w:val="000000"/>
                    </w:rPr>
                    <w:t>4.整机网络层吞吐量≥1G</w:t>
                  </w:r>
                </w:p>
                <w:p>
                  <w:pPr>
                    <w:pStyle w:val="null3"/>
                    <w:jc w:val="left"/>
                  </w:pPr>
                  <w:r>
                    <w:rPr>
                      <w:rFonts w:ascii="仿宋_GB2312" w:hAnsi="仿宋_GB2312" w:cs="仿宋_GB2312" w:eastAsia="仿宋_GB2312"/>
                      <w:sz w:val="21"/>
                      <w:color w:val="000000"/>
                    </w:rPr>
                    <w:t>5.可配置应用识别、入侵防护、病毒防护功能</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防火墙授权</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入侵防护、病毒防护功能</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1、成交单位需与采购人签订保密协议； 2、本项目产品需为安全可替代产品。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合同签订后30日历天内安装调试完成，维护期：验收合格后3年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按采购文件、响应文件及澄清函等技术指标进行验收。各项指标均应符合验收标准及要求。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产品安装完毕并经终验合格后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招标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具备良好的商业信誉，提供参加政府采购活动前3年内在经营活动中没有重大违法记录的书面声明；（3）、财务状况报告：供应商提供2023或2024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1月至今任意一个月的社会保障资金缴存单据或社保机构开具的社会保险参保缴费情况证明，单据或证明上应有社保机构或代收机构的公章。依法不需要缴纳社会保障资金的供应商应提供相关文件证明；（5）、税收缴纳证明：供应商提供已缴纳的2025年度1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业绩 商务应答表 服务内容及服务要求应答表 报价表 其他证明资料 响应文件封面 资格证明文件 残疾人福利性单位声明函 服务方案 标的清单 响应函 监狱企业的证明文件 分项报价清单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响应文件按竞争性磋商文件要求签署、盖章</w:t>
            </w:r>
          </w:p>
        </w:tc>
        <w:tc>
          <w:tcPr>
            <w:tcW w:type="dxa" w:w="1661"/>
          </w:tcPr>
          <w:p>
            <w:pPr>
              <w:pStyle w:val="null3"/>
            </w:pPr>
            <w:r>
              <w:rPr>
                <w:rFonts w:ascii="仿宋_GB2312" w:hAnsi="仿宋_GB2312" w:cs="仿宋_GB2312" w:eastAsia="仿宋_GB2312"/>
              </w:rPr>
              <w:t>响应文件封面 资格证明文件 业绩 商务应答表 服务方案 标的清单 服务内容及服务要求应答表 报价表 响应函 其他证明资料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磋商报价未高于最高限价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技术参数清楚、明确并能逐条响应并满足采购文件参数表中所有参数要求，得20分。 技术参数负偏离一项扣1分。 在技术规格响应表“备注”栏中标明证明材料的页码。（备注：证明材料包含但不限于技术白皮书、官网功能截图、产品彩页、产品技术说明、相关检测报告等资料任意一种。不提供证明材料视为负偏离）。备注：标序号的参数一个序号为一项参数，未标序号的参数的为一项参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针对本项目实施过程中的重难点分析及应对措施</w:t>
            </w:r>
          </w:p>
        </w:tc>
        <w:tc>
          <w:tcPr>
            <w:tcW w:type="dxa" w:w="2492"/>
          </w:tcPr>
          <w:p>
            <w:pPr>
              <w:pStyle w:val="null3"/>
            </w:pPr>
            <w:r>
              <w:rPr>
                <w:rFonts w:ascii="仿宋_GB2312" w:hAnsi="仿宋_GB2312" w:cs="仿宋_GB2312" w:eastAsia="仿宋_GB2312"/>
              </w:rPr>
              <w:t>包含但不限于： （1）重难点的分析； （2）应对措施。 切合项目具体情况，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项目团队人员安排及责任制度</w:t>
            </w:r>
          </w:p>
        </w:tc>
        <w:tc>
          <w:tcPr>
            <w:tcW w:type="dxa" w:w="2492"/>
          </w:tcPr>
          <w:p>
            <w:pPr>
              <w:pStyle w:val="null3"/>
            </w:pPr>
            <w:r>
              <w:rPr>
                <w:rFonts w:ascii="仿宋_GB2312" w:hAnsi="仿宋_GB2312" w:cs="仿宋_GB2312" w:eastAsia="仿宋_GB2312"/>
              </w:rPr>
              <w:t>包含但不限于： （1）项目团队人员安排； （2）项目团队人员责任制度； 评分依据： 内容全面详细、阐述条理清晰，能有效保障本项目实施，每有一项缺项扣2.5分，每有一处内容存在缺陷，扣1分。 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（1）项目验收方案； （2）安装及调试方案。 切合项目具体情况，能有效保障本项目实施，每有一项缺项扣3分，每有一处内容存在缺陷，扣1.5分。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进度要求</w:t>
            </w:r>
          </w:p>
        </w:tc>
        <w:tc>
          <w:tcPr>
            <w:tcW w:type="dxa" w:w="2492"/>
          </w:tcPr>
          <w:p>
            <w:pPr>
              <w:pStyle w:val="null3"/>
            </w:pPr>
            <w:r>
              <w:rPr>
                <w:rFonts w:ascii="仿宋_GB2312" w:hAnsi="仿宋_GB2312" w:cs="仿宋_GB2312" w:eastAsia="仿宋_GB2312"/>
              </w:rPr>
              <w:t>供应商提供针对本项目不同阶段工作的进度计划，包含但不限于： （1）时间节点控制； （2）重点环节进度控制等。 切合项目具体情况，能有效保障本项目实施，每有一项缺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 （1）对突发事件的预防、处理程序、处理方法；（2） 故障时处理方案。 方案各项内容全面详细、阐述条理清晰、技术先进、功能配置合理，能有效保障本项目实施，每有一项缺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供应商提供针对本项目的保密方案，包含但不限于： （1）保密管理制度； （2）对数据和信息安全保密； （3）其他保密措施等。 切合项目具体情况，提出责任明确，服务定位，能有效保障本项目实施，每有一项缺项扣2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供应商提供质量控制措施，包含但不限于： （1）质量控制方法 ； （2）质量控制措施、流程。 切合项目具体情况，思路清晰，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售后服务人员及承诺</w:t>
            </w:r>
          </w:p>
        </w:tc>
        <w:tc>
          <w:tcPr>
            <w:tcW w:type="dxa" w:w="2492"/>
          </w:tcPr>
          <w:p>
            <w:pPr>
              <w:pStyle w:val="null3"/>
            </w:pPr>
            <w:r>
              <w:rPr>
                <w:rFonts w:ascii="仿宋_GB2312" w:hAnsi="仿宋_GB2312" w:cs="仿宋_GB2312" w:eastAsia="仿宋_GB2312"/>
              </w:rPr>
              <w:t>包含但不限于： (1)售后人员配置及安排计划; (2)售后服务承诺及措施。 切合项目具体情况，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针对本项目有具体的售后服务方案,包含但不限于： （1）设备日常维护方案及措施； （2)项目交付用户后出现故障响应时间及措施。 切合项目具体情况，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针对本项目有具体的培训方案，包含但不限于： （1）培训目标； （2）培训内容； （3）培训方式； （4）培训计划安排； （5）人员安排。 切合项目具体情况，能有效保障本项目实施，每有一项缺项扣1分，每有一处内容存在缺陷，扣0.5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以合同形式提供供应商2022年10月至今类似项目业绩，每份计3分，计满6分为止。（以合同签订时间为准，提供完整合同复印件）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满足竞争性磋商文件要求的最终报价最低价作为评标基准价，其价格为满分。其他供应商的报价得分按下列公式计算：报价得分=（评标基准价／磋商报价）×20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